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EC" w:rsidRDefault="00451AEC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51AEC" w:rsidRDefault="00451AEC">
      <w:pPr>
        <w:pStyle w:val="ConsPlusNormal"/>
        <w:ind w:firstLine="540"/>
        <w:jc w:val="both"/>
        <w:outlineLvl w:val="0"/>
      </w:pPr>
    </w:p>
    <w:p w:rsidR="00451AEC" w:rsidRDefault="00451AEC">
      <w:pPr>
        <w:pStyle w:val="ConsPlusNormal"/>
        <w:outlineLvl w:val="0"/>
      </w:pPr>
      <w:r>
        <w:t>Зарегистрировано в Минюсте России 22 февраля 2024 г. N 77331</w:t>
      </w:r>
    </w:p>
    <w:p w:rsidR="00451AEC" w:rsidRDefault="00451A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Title"/>
        <w:jc w:val="center"/>
      </w:pPr>
      <w:r>
        <w:t>МИНИСТЕРСТВО ПРОСВЕЩЕНИЯ РОССИЙСКОЙ ФЕДЕРАЦИИ</w:t>
      </w:r>
    </w:p>
    <w:p w:rsidR="00451AEC" w:rsidRDefault="00451AEC">
      <w:pPr>
        <w:pStyle w:val="ConsPlusTitle"/>
        <w:jc w:val="center"/>
      </w:pPr>
    </w:p>
    <w:p w:rsidR="00451AEC" w:rsidRDefault="00451AEC">
      <w:pPr>
        <w:pStyle w:val="ConsPlusTitle"/>
        <w:jc w:val="center"/>
      </w:pPr>
      <w:r>
        <w:t>ПРИКАЗ</w:t>
      </w:r>
    </w:p>
    <w:p w:rsidR="00451AEC" w:rsidRDefault="00451AEC">
      <w:pPr>
        <w:pStyle w:val="ConsPlusTitle"/>
        <w:jc w:val="center"/>
      </w:pPr>
      <w:r>
        <w:t>от 19 февраля 2024 г. N 110</w:t>
      </w:r>
    </w:p>
    <w:p w:rsidR="00451AEC" w:rsidRDefault="00451AEC">
      <w:pPr>
        <w:pStyle w:val="ConsPlusTitle"/>
        <w:jc w:val="center"/>
      </w:pPr>
    </w:p>
    <w:p w:rsidR="00451AEC" w:rsidRDefault="00451AEC">
      <w:pPr>
        <w:pStyle w:val="ConsPlusTitle"/>
        <w:jc w:val="center"/>
      </w:pPr>
      <w:r>
        <w:t>О ВНЕСЕНИИ ИЗМЕНЕНИЙ</w:t>
      </w:r>
    </w:p>
    <w:p w:rsidR="00451AEC" w:rsidRDefault="00451AEC">
      <w:pPr>
        <w:pStyle w:val="ConsPlusTitle"/>
        <w:jc w:val="center"/>
      </w:pPr>
      <w:r>
        <w:t>В НЕКОТОРЫЕ ПРИКАЗЫ МИНИСТЕРСТВА ОБРАЗОВАНИЯ И НАУКИ</w:t>
      </w:r>
    </w:p>
    <w:p w:rsidR="00451AEC" w:rsidRDefault="00451AEC">
      <w:pPr>
        <w:pStyle w:val="ConsPlusTitle"/>
        <w:jc w:val="center"/>
      </w:pPr>
      <w:r>
        <w:t>РОССИЙСКОЙ ФЕДЕРАЦИИ И МИНИСТЕРСТВА ПРОСВЕЩЕНИЯ РОССИЙСКОЙ</w:t>
      </w:r>
    </w:p>
    <w:p w:rsidR="00451AEC" w:rsidRDefault="00451AEC">
      <w:pPr>
        <w:pStyle w:val="ConsPlusTitle"/>
        <w:jc w:val="center"/>
      </w:pPr>
      <w:r>
        <w:t xml:space="preserve">ФЕДЕРАЦИИ, КАСАЮЩИЕСЯ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451AEC" w:rsidRDefault="00451AEC">
      <w:pPr>
        <w:pStyle w:val="ConsPlusTitle"/>
        <w:jc w:val="center"/>
      </w:pPr>
      <w:r>
        <w:t>ОБРАЗОВАТЕЛЬНЫХ СТАНДАРТОВ ОСНОВНОГО</w:t>
      </w:r>
    </w:p>
    <w:p w:rsidR="00451AEC" w:rsidRDefault="00451AEC">
      <w:pPr>
        <w:pStyle w:val="ConsPlusTitle"/>
        <w:jc w:val="center"/>
      </w:pPr>
      <w:r>
        <w:t>ОБЩЕГО ОБРАЗОВАНИЯ</w:t>
      </w:r>
    </w:p>
    <w:p w:rsidR="00451AEC" w:rsidRDefault="00451AEC">
      <w:pPr>
        <w:pStyle w:val="ConsPlusNormal"/>
        <w:jc w:val="center"/>
      </w:pPr>
    </w:p>
    <w:p w:rsidR="00451AEC" w:rsidRDefault="00451AEC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7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  <w:proofErr w:type="gramEnd"/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образования.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2025 года.</w:t>
      </w: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jc w:val="right"/>
      </w:pPr>
      <w:r>
        <w:t>Министр</w:t>
      </w:r>
    </w:p>
    <w:p w:rsidR="00451AEC" w:rsidRDefault="00451AEC">
      <w:pPr>
        <w:pStyle w:val="ConsPlusNormal"/>
        <w:jc w:val="right"/>
      </w:pPr>
      <w:r>
        <w:t>С.С.КРАВЦОВ</w:t>
      </w: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jc w:val="right"/>
        <w:outlineLvl w:val="0"/>
      </w:pPr>
      <w:r>
        <w:t>Утверждены</w:t>
      </w:r>
    </w:p>
    <w:p w:rsidR="00451AEC" w:rsidRDefault="00451AEC">
      <w:pPr>
        <w:pStyle w:val="ConsPlusNormal"/>
        <w:jc w:val="right"/>
      </w:pPr>
      <w:r>
        <w:t>приказом Министерства просвещения</w:t>
      </w:r>
    </w:p>
    <w:p w:rsidR="00451AEC" w:rsidRDefault="00451AEC">
      <w:pPr>
        <w:pStyle w:val="ConsPlusNormal"/>
        <w:jc w:val="right"/>
      </w:pPr>
      <w:r>
        <w:t>Российской Федерации</w:t>
      </w:r>
    </w:p>
    <w:p w:rsidR="00451AEC" w:rsidRDefault="00451AEC">
      <w:pPr>
        <w:pStyle w:val="ConsPlusNormal"/>
        <w:jc w:val="right"/>
      </w:pPr>
      <w:r>
        <w:t>от 19 февраля 2024 г. N 110</w:t>
      </w:r>
    </w:p>
    <w:p w:rsidR="00451AEC" w:rsidRDefault="00451AEC">
      <w:pPr>
        <w:pStyle w:val="ConsPlusNormal"/>
        <w:jc w:val="right"/>
      </w:pPr>
    </w:p>
    <w:p w:rsidR="00451AEC" w:rsidRDefault="00451AEC">
      <w:pPr>
        <w:pStyle w:val="ConsPlusTitle"/>
        <w:jc w:val="center"/>
      </w:pPr>
      <w:bookmarkStart w:id="0" w:name="P32"/>
      <w:bookmarkEnd w:id="0"/>
      <w:r>
        <w:t>ИЗМЕНЕНИЯ,</w:t>
      </w:r>
    </w:p>
    <w:p w:rsidR="00451AEC" w:rsidRDefault="00451AEC">
      <w:pPr>
        <w:pStyle w:val="ConsPlusTitle"/>
        <w:jc w:val="center"/>
      </w:pPr>
      <w:r>
        <w:t>КОТОРЫЕ ВНОСЯТСЯ В НЕКОТОРЫЕ ПРИКАЗЫ МИНИСТЕРСТВА</w:t>
      </w:r>
    </w:p>
    <w:p w:rsidR="00451AEC" w:rsidRDefault="00451AEC">
      <w:pPr>
        <w:pStyle w:val="ConsPlusTitle"/>
        <w:jc w:val="center"/>
      </w:pPr>
      <w:r>
        <w:t>ОБРАЗОВАНИЯ И НАУКИ РОССИЙСКОЙ ФЕДЕРАЦИИ И МИНИСТЕРСТВА</w:t>
      </w:r>
    </w:p>
    <w:p w:rsidR="00451AEC" w:rsidRDefault="00451AEC">
      <w:pPr>
        <w:pStyle w:val="ConsPlusTitle"/>
        <w:jc w:val="center"/>
      </w:pPr>
      <w:r>
        <w:t xml:space="preserve">ПРОСВЕЩЕНИЯ РОССИЙСКОЙ ФЕДЕРАЦИИ, КАСАЮЩИЕСЯ </w:t>
      </w:r>
      <w:proofErr w:type="gramStart"/>
      <w:r>
        <w:t>ФЕДЕРАЛЬНЫХ</w:t>
      </w:r>
      <w:proofErr w:type="gramEnd"/>
    </w:p>
    <w:p w:rsidR="00451AEC" w:rsidRDefault="00451AEC">
      <w:pPr>
        <w:pStyle w:val="ConsPlusTitle"/>
        <w:jc w:val="center"/>
      </w:pPr>
      <w:r>
        <w:t>ГОСУДАРСТВЕННЫХ ОБРАЗОВАТЕЛЬНЫХ СТАНДАРТОВ ОСНОВНОГО</w:t>
      </w:r>
    </w:p>
    <w:p w:rsidR="00451AEC" w:rsidRDefault="00451AEC">
      <w:pPr>
        <w:pStyle w:val="ConsPlusTitle"/>
        <w:jc w:val="center"/>
      </w:pPr>
      <w:r>
        <w:t>ОБЩЕГО ОБРАЗОВАНИЯ</w:t>
      </w:r>
    </w:p>
    <w:p w:rsidR="00451AEC" w:rsidRDefault="00451AEC">
      <w:pPr>
        <w:pStyle w:val="ConsPlusNormal"/>
        <w:jc w:val="center"/>
      </w:pPr>
    </w:p>
    <w:p w:rsidR="00451AEC" w:rsidRDefault="00451AE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федеральном государственном образовательном </w:t>
      </w:r>
      <w:hyperlink r:id="rId8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</w:t>
      </w:r>
      <w:r>
        <w:lastRenderedPageBreak/>
        <w:t>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>
        <w:t xml:space="preserve"> </w:t>
      </w:r>
      <w:proofErr w:type="gramStart"/>
      <w:r>
        <w:t>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</w:t>
      </w:r>
      <w:proofErr w:type="gramEnd"/>
      <w:r>
        <w:t xml:space="preserve">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а) в </w:t>
      </w:r>
      <w:hyperlink r:id="rId9">
        <w:r>
          <w:rPr>
            <w:color w:val="0000FF"/>
          </w:rPr>
          <w:t>пункте 11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10">
        <w:r>
          <w:rPr>
            <w:color w:val="0000FF"/>
          </w:rPr>
          <w:t>абзаце десятом подпункта 11.4</w:t>
        </w:r>
      </w:hyperlink>
      <w:r>
        <w:t xml:space="preserve"> после слов "История России</w:t>
      </w:r>
      <w:proofErr w:type="gramStart"/>
      <w:r>
        <w:t xml:space="preserve">." </w:t>
      </w:r>
      <w:proofErr w:type="gramEnd"/>
      <w:r>
        <w:t>дополнить словами "История нашего края.";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подпункт 11.6</w:t>
        </w:r>
      </w:hyperlink>
      <w:r>
        <w:t xml:space="preserve"> признать утратившим силу;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б) в </w:t>
      </w:r>
      <w:hyperlink r:id="rId12">
        <w:r>
          <w:rPr>
            <w:color w:val="0000FF"/>
          </w:rPr>
          <w:t>подпункте 18.3.1 пункта 18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абзаце седьмом</w:t>
        </w:r>
      </w:hyperlink>
      <w:r>
        <w:t xml:space="preserve"> после слов "история России" дополнить словами "история нашего края</w:t>
      </w:r>
      <w:proofErr w:type="gramStart"/>
      <w:r>
        <w:t>,"</w:t>
      </w:r>
      <w:proofErr w:type="gramEnd"/>
      <w:r>
        <w:t>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абзац девятый</w:t>
        </w:r>
      </w:hyperlink>
      <w:r>
        <w:t xml:space="preserve"> признать утратившим силу.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федеральном государственном образовательном </w:t>
      </w:r>
      <w:hyperlink r:id="rId15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</w:t>
      </w:r>
      <w:proofErr w:type="gramEnd"/>
      <w:r>
        <w:t>), от 8 ноября 2022 г. N 955 (зарегистрирован Министерством юстиции Российской Федерации 6 февраля 2023 г., регистрационный N 72264) и от 27 декабря 2023 г. N 1028 (зарегистрирован Министерством юстиции Российской Федерации 2 февраля 2024 г., регистрационный N 77121):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а) в </w:t>
      </w:r>
      <w:hyperlink r:id="rId16">
        <w:r>
          <w:rPr>
            <w:color w:val="0000FF"/>
          </w:rPr>
          <w:t>подпункте 33.1 пункта 33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Таблицу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jc w:val="both"/>
      </w:pPr>
      <w:r>
        <w:t>"</w:t>
      </w:r>
    </w:p>
    <w:p w:rsidR="00451AEC" w:rsidRDefault="00451AE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451AEC">
        <w:tc>
          <w:tcPr>
            <w:tcW w:w="4523" w:type="dxa"/>
          </w:tcPr>
          <w:p w:rsidR="00451AEC" w:rsidRDefault="00451AEC">
            <w:pPr>
              <w:pStyle w:val="ConsPlusNormal"/>
              <w:jc w:val="center"/>
            </w:pPr>
            <w:r>
              <w:t>Предметные области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  <w:jc w:val="center"/>
            </w:pPr>
            <w:r>
              <w:t>Учебные предметы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Русский язык и литература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Русский язык,</w:t>
            </w:r>
          </w:p>
          <w:p w:rsidR="00451AEC" w:rsidRDefault="00451AEC">
            <w:pPr>
              <w:pStyle w:val="ConsPlusNormal"/>
            </w:pPr>
            <w:r>
              <w:t>Литература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Родной язык и родная литература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Родной язык и (или) государственный язык республики Российской Федерации,</w:t>
            </w:r>
          </w:p>
          <w:p w:rsidR="00451AEC" w:rsidRDefault="00451AEC">
            <w:pPr>
              <w:pStyle w:val="ConsPlusNormal"/>
            </w:pPr>
            <w:r>
              <w:t>Родная литература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Иностранные языки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Иностранный язык,</w:t>
            </w:r>
          </w:p>
          <w:p w:rsidR="00451AEC" w:rsidRDefault="00451AEC">
            <w:pPr>
              <w:pStyle w:val="ConsPlusNormal"/>
            </w:pPr>
            <w:r>
              <w:t>Второй иностранный язык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Математика и информатика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Математика,</w:t>
            </w:r>
          </w:p>
          <w:p w:rsidR="00451AEC" w:rsidRDefault="00451AEC">
            <w:pPr>
              <w:pStyle w:val="ConsPlusNormal"/>
            </w:pPr>
            <w:r>
              <w:t>Информатика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Общественно-научные предметы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История,</w:t>
            </w:r>
          </w:p>
          <w:p w:rsidR="00451AEC" w:rsidRDefault="00451AEC">
            <w:pPr>
              <w:pStyle w:val="ConsPlusNormal"/>
            </w:pPr>
            <w:r>
              <w:t>Обществознание,</w:t>
            </w:r>
          </w:p>
          <w:p w:rsidR="00451AEC" w:rsidRDefault="00451AEC">
            <w:pPr>
              <w:pStyle w:val="ConsPlusNormal"/>
            </w:pPr>
            <w:r>
              <w:lastRenderedPageBreak/>
              <w:t>География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lastRenderedPageBreak/>
              <w:t>Естественнонаучные предметы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Физика,</w:t>
            </w:r>
          </w:p>
          <w:p w:rsidR="00451AEC" w:rsidRDefault="00451AEC">
            <w:pPr>
              <w:pStyle w:val="ConsPlusNormal"/>
            </w:pPr>
            <w:r>
              <w:t>Химия,</w:t>
            </w:r>
          </w:p>
          <w:p w:rsidR="00451AEC" w:rsidRDefault="00451AEC">
            <w:pPr>
              <w:pStyle w:val="ConsPlusNormal"/>
            </w:pPr>
            <w:r>
              <w:t>Биология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Искусство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Изобразительное искусство,</w:t>
            </w:r>
          </w:p>
          <w:p w:rsidR="00451AEC" w:rsidRDefault="00451AEC">
            <w:pPr>
              <w:pStyle w:val="ConsPlusNormal"/>
            </w:pPr>
            <w:r>
              <w:t>Музыка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Технология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Труд (технология)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Основы безопасности и защиты Родины</w:t>
            </w:r>
          </w:p>
        </w:tc>
      </w:tr>
      <w:tr w:rsidR="00451AEC">
        <w:tc>
          <w:tcPr>
            <w:tcW w:w="4523" w:type="dxa"/>
          </w:tcPr>
          <w:p w:rsidR="00451AEC" w:rsidRDefault="00451AEC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24" w:type="dxa"/>
          </w:tcPr>
          <w:p w:rsidR="00451AEC" w:rsidRDefault="00451AEC">
            <w:pPr>
              <w:pStyle w:val="ConsPlusNormal"/>
            </w:pPr>
            <w:r>
              <w:t>Физическая культура</w:t>
            </w:r>
          </w:p>
        </w:tc>
      </w:tr>
    </w:tbl>
    <w:p w:rsidR="00451AEC" w:rsidRDefault="00451AEC">
      <w:pPr>
        <w:pStyle w:val="ConsPlusNormal"/>
        <w:spacing w:before="220"/>
        <w:jc w:val="right"/>
      </w:pPr>
      <w:r>
        <w:t>";</w:t>
      </w:r>
    </w:p>
    <w:p w:rsidR="00451AEC" w:rsidRDefault="00451AEC">
      <w:pPr>
        <w:pStyle w:val="ConsPlusNormal"/>
        <w:jc w:val="right"/>
      </w:pPr>
    </w:p>
    <w:p w:rsidR="00451AEC" w:rsidRDefault="00451AEC">
      <w:pPr>
        <w:pStyle w:val="ConsPlusNormal"/>
        <w:ind w:firstLine="540"/>
        <w:jc w:val="both"/>
      </w:pPr>
      <w:r>
        <w:t xml:space="preserve">в </w:t>
      </w:r>
      <w:hyperlink r:id="rId18">
        <w:r>
          <w:rPr>
            <w:color w:val="0000FF"/>
          </w:rPr>
          <w:t>абзаце шестом</w:t>
        </w:r>
      </w:hyperlink>
      <w:r>
        <w:t xml:space="preserve"> после слов "История России" дополнить словами ", "История нашего края"</w:t>
      </w:r>
      <w:proofErr w:type="gramStart"/>
      <w:r>
        <w:t>,"</w:t>
      </w:r>
      <w:proofErr w:type="gramEnd"/>
      <w:r>
        <w:t>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абзац девятый</w:t>
        </w:r>
      </w:hyperlink>
      <w:r>
        <w:t xml:space="preserve"> признать утратившим силу;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б) в </w:t>
      </w:r>
      <w:hyperlink r:id="rId20">
        <w:r>
          <w:rPr>
            <w:color w:val="0000FF"/>
          </w:rPr>
          <w:t>пункте 45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45.6.1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22">
        <w:r>
          <w:rPr>
            <w:color w:val="0000FF"/>
          </w:rPr>
          <w:t>подпункт 1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"1) умение определять последовательность событий, явлений, процессов; соотносить события истории разных стран и народов с историческими периодами, событиями региональной, отечественной и мировой истории, определять современников исторических событий, явлений, процессов</w:t>
      </w:r>
      <w:proofErr w:type="gramStart"/>
      <w:r>
        <w:t>;"</w:t>
      </w:r>
      <w:proofErr w:type="gramEnd"/>
      <w:r>
        <w:t>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подпункт 6</w:t>
        </w:r>
      </w:hyperlink>
      <w:r>
        <w:t xml:space="preserve"> признать утратившим силу;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24">
        <w:r>
          <w:rPr>
            <w:color w:val="0000FF"/>
          </w:rPr>
          <w:t>подпункте 10</w:t>
        </w:r>
      </w:hyperlink>
      <w:r>
        <w:t xml:space="preserve"> слова "том числе по истории родного края" заменить словами "том числе по региональной истории";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25">
        <w:r>
          <w:rPr>
            <w:color w:val="0000FF"/>
          </w:rPr>
          <w:t>подпункт 14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"14) приобретение опыта взаимодействия с людьми другой культуры, национальной и религиозной принадлежности на основе традиционных ценностей современного российского общества: гуманистических ценностей, идей мира и взаимопонимания между народами, людьми разных культур; уважения к историческому и культурному наследию народов России</w:t>
      </w:r>
      <w:proofErr w:type="gramStart"/>
      <w:r>
        <w:t>.";</w:t>
      </w:r>
      <w:proofErr w:type="gramEnd"/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26">
        <w:r>
          <w:rPr>
            <w:color w:val="0000FF"/>
          </w:rPr>
          <w:t>подпункте 45.6.1.1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27">
        <w:r>
          <w:rPr>
            <w:color w:val="0000FF"/>
          </w:rPr>
          <w:t>абзац шестой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"Русь в конце X - начале XII в.: Территория, органы власти, социальная структура, хозяйственный уклад, крупнейшие города. Новгород как центр освоения Севера Восточной Европы, освоение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Культура средневековой Руси</w:t>
      </w:r>
      <w:proofErr w:type="gramStart"/>
      <w:r>
        <w:t>.";</w:t>
      </w:r>
    </w:p>
    <w:p w:rsidR="00451AEC" w:rsidRDefault="00451AEC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28">
        <w:r>
          <w:rPr>
            <w:color w:val="0000FF"/>
          </w:rPr>
          <w:t>абзаце восьмом</w:t>
        </w:r>
      </w:hyperlink>
      <w:r>
        <w:t xml:space="preserve"> слово "героической" исключить;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абзац девятый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"Формирование единого Русского государства в XV веке: Объединение русских земель вокруг Москвы, Междоусобная (династическая) война в Московском княжестве. Новгород и Псков в XV в. Падение Византии и рост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 и учреждение герба. Формирование единого аппарата управления. Культурное пространство единого государства</w:t>
      </w:r>
      <w:proofErr w:type="gramStart"/>
      <w:r>
        <w:t>.";</w:t>
      </w:r>
    </w:p>
    <w:p w:rsidR="00451AEC" w:rsidRDefault="00451AEC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30">
        <w:r>
          <w:rPr>
            <w:color w:val="0000FF"/>
          </w:rPr>
          <w:t>абзаце десятом</w:t>
        </w:r>
      </w:hyperlink>
      <w:r>
        <w:t xml:space="preserve"> слово "церковь" заменить словом "Церковь";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31">
        <w:r>
          <w:rPr>
            <w:color w:val="0000FF"/>
          </w:rPr>
          <w:t>абзаце шестнадцатом</w:t>
        </w:r>
      </w:hyperlink>
      <w:r>
        <w:t xml:space="preserve"> слова "дискуссия о его причинах, сущности и основных этапах" заменить словами "причины, сущность и основные этапы";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32">
        <w:r>
          <w:rPr>
            <w:color w:val="0000FF"/>
          </w:rPr>
          <w:t>абзаце семнадцатом</w:t>
        </w:r>
      </w:hyperlink>
      <w:r>
        <w:t xml:space="preserve"> слова "Формирование многонациональной элиты</w:t>
      </w:r>
      <w:proofErr w:type="gramStart"/>
      <w:r>
        <w:t xml:space="preserve">." </w:t>
      </w:r>
      <w:proofErr w:type="gramEnd"/>
      <w:r>
        <w:t>исключить;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33">
        <w:r>
          <w:rPr>
            <w:color w:val="0000FF"/>
          </w:rPr>
          <w:t>абзаце восемнадцатом</w:t>
        </w:r>
      </w:hyperlink>
      <w:r>
        <w:t xml:space="preserve"> первое предложение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"Россия в эпоху Петра I: причины и предпосылки преобразований</w:t>
      </w:r>
      <w:proofErr w:type="gramStart"/>
      <w:r>
        <w:t>.";</w:t>
      </w:r>
      <w:proofErr w:type="gramEnd"/>
    </w:p>
    <w:p w:rsidR="00451AEC" w:rsidRDefault="00451AEC">
      <w:pPr>
        <w:pStyle w:val="ConsPlusNormal"/>
        <w:spacing w:before="220"/>
        <w:ind w:firstLine="540"/>
        <w:jc w:val="both"/>
      </w:pPr>
      <w:hyperlink r:id="rId34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"Эпоха "дворцовых переворотов": причины и сущность. Внутренняя и внешняя политика России в 1725 - 1762 гг.".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35">
        <w:r>
          <w:rPr>
            <w:color w:val="0000FF"/>
          </w:rPr>
          <w:t>абзаце двадцать шестом</w:t>
        </w:r>
      </w:hyperlink>
      <w:r>
        <w:t xml:space="preserve"> слова "- движение к правовому государству и гражданскому обществу" исключить;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в </w:t>
      </w:r>
      <w:hyperlink r:id="rId36">
        <w:r>
          <w:rPr>
            <w:color w:val="0000FF"/>
          </w:rPr>
          <w:t>абзаце двадцать восьмом</w:t>
        </w:r>
      </w:hyperlink>
      <w:r>
        <w:t>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слова "Политический терроризм" исключить;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слова "Внешняя политика Николая II." исключить;</w:t>
      </w:r>
    </w:p>
    <w:p w:rsidR="00451AEC" w:rsidRDefault="00451AEC">
      <w:pPr>
        <w:pStyle w:val="ConsPlusNormal"/>
        <w:spacing w:before="220"/>
        <w:ind w:firstLine="540"/>
        <w:jc w:val="both"/>
      </w:pPr>
      <w:hyperlink r:id="rId37">
        <w:r>
          <w:rPr>
            <w:color w:val="0000FF"/>
          </w:rPr>
          <w:t>дополнить</w:t>
        </w:r>
      </w:hyperlink>
      <w:r>
        <w:t xml:space="preserve"> подпунктом 45.6.1.1(1) следующего содержания: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"45.6.1.1(1). По учебному курсу "История нашего края":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1) понимание вклада представителей различных народов России в формирование ее цивилизационного наследия;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 xml:space="preserve">2) понимание </w:t>
      </w:r>
      <w:proofErr w:type="gramStart"/>
      <w:r>
        <w:t>ценности многообразия культурных укладов народов Российской Федерации</w:t>
      </w:r>
      <w:proofErr w:type="gramEnd"/>
      <w:r>
        <w:t>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3) поддержка интереса к традициям собственного народа и народов, проживающих в Российской Федерации;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4) знание исторических примеров взаимопомощи и сотрудничества народов Российской Федерации;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5) формирование уважительного отношения к национальным и этническим ценностям, религиозным чувствам народов Российской Федерации;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6) осознание ценности межнационального и межрелигиозного согласия;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7) формирование представлений об образцах и примерах традиционного духовного наследия народов Российской Федерации;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t>8) знание и уважение государственных символов Российской Федерации;</w:t>
      </w:r>
    </w:p>
    <w:p w:rsidR="00451AEC" w:rsidRDefault="00451AEC">
      <w:pPr>
        <w:pStyle w:val="ConsPlusNormal"/>
        <w:spacing w:before="220"/>
        <w:ind w:firstLine="540"/>
        <w:jc w:val="both"/>
      </w:pPr>
      <w:r>
        <w:lastRenderedPageBreak/>
        <w:t>9) осознание единства и многообразия культур народов Российской Федерации, роли русского языка как государственного языка и языка межнационального общения</w:t>
      </w:r>
      <w:proofErr w:type="gramStart"/>
      <w:r>
        <w:t>.";</w:t>
      </w:r>
      <w:proofErr w:type="gramEnd"/>
    </w:p>
    <w:p w:rsidR="00451AEC" w:rsidRDefault="00451AEC">
      <w:pPr>
        <w:pStyle w:val="ConsPlusNormal"/>
        <w:spacing w:before="220"/>
        <w:ind w:firstLine="540"/>
        <w:jc w:val="both"/>
      </w:pPr>
      <w:hyperlink r:id="rId38">
        <w:r>
          <w:rPr>
            <w:color w:val="0000FF"/>
          </w:rPr>
          <w:t>абзац седьмой подпункта 45.6.1.2</w:t>
        </w:r>
      </w:hyperlink>
      <w:r>
        <w:t xml:space="preserve"> дополнить предложением "Колонизация</w:t>
      </w:r>
      <w:proofErr w:type="gramStart"/>
      <w:r>
        <w:t>.";</w:t>
      </w:r>
      <w:proofErr w:type="gramEnd"/>
    </w:p>
    <w:p w:rsidR="00451AEC" w:rsidRDefault="00451AEC">
      <w:pPr>
        <w:pStyle w:val="ConsPlusNormal"/>
        <w:spacing w:before="220"/>
        <w:ind w:firstLine="540"/>
        <w:jc w:val="both"/>
      </w:pPr>
      <w:hyperlink r:id="rId39">
        <w:r>
          <w:rPr>
            <w:color w:val="0000FF"/>
          </w:rPr>
          <w:t>подпункт 45.8</w:t>
        </w:r>
      </w:hyperlink>
      <w:r>
        <w:t xml:space="preserve"> признать утратившим силу.</w:t>
      </w: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ind w:firstLine="540"/>
        <w:jc w:val="both"/>
      </w:pPr>
    </w:p>
    <w:p w:rsidR="00451AEC" w:rsidRDefault="00451AE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E11" w:rsidRDefault="00C63E11">
      <w:bookmarkStart w:id="1" w:name="_GoBack"/>
      <w:bookmarkEnd w:id="1"/>
    </w:p>
    <w:sectPr w:rsidR="00C63E11" w:rsidSect="00FB3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EC"/>
    <w:rsid w:val="00451AEC"/>
    <w:rsid w:val="00C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1A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1A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51A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1AE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0944&amp;dst=100010" TargetMode="External"/><Relationship Id="rId13" Type="http://schemas.openxmlformats.org/officeDocument/2006/relationships/hyperlink" Target="https://login.consultant.ru/link/?req=doc&amp;base=RZB&amp;n=470944&amp;dst=100440" TargetMode="External"/><Relationship Id="rId18" Type="http://schemas.openxmlformats.org/officeDocument/2006/relationships/hyperlink" Target="https://login.consultant.ru/link/?req=doc&amp;base=RZB&amp;n=470943&amp;dst=100249" TargetMode="External"/><Relationship Id="rId26" Type="http://schemas.openxmlformats.org/officeDocument/2006/relationships/hyperlink" Target="https://login.consultant.ru/link/?req=doc&amp;base=RZB&amp;n=470943&amp;dst=100781" TargetMode="External"/><Relationship Id="rId39" Type="http://schemas.openxmlformats.org/officeDocument/2006/relationships/hyperlink" Target="https://login.consultant.ru/link/?req=doc&amp;base=RZB&amp;n=470943&amp;dst=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70943&amp;dst=100766" TargetMode="External"/><Relationship Id="rId34" Type="http://schemas.openxmlformats.org/officeDocument/2006/relationships/hyperlink" Target="https://login.consultant.ru/link/?req=doc&amp;base=RZB&amp;n=470943&amp;dst=100799" TargetMode="External"/><Relationship Id="rId7" Type="http://schemas.openxmlformats.org/officeDocument/2006/relationships/hyperlink" Target="https://login.consultant.ru/link/?req=doc&amp;base=RZB&amp;n=481262&amp;dst=100078" TargetMode="External"/><Relationship Id="rId12" Type="http://schemas.openxmlformats.org/officeDocument/2006/relationships/hyperlink" Target="https://login.consultant.ru/link/?req=doc&amp;base=RZB&amp;n=470944&amp;dst=100434" TargetMode="External"/><Relationship Id="rId17" Type="http://schemas.openxmlformats.org/officeDocument/2006/relationships/hyperlink" Target="https://login.consultant.ru/link/?req=doc&amp;base=RZB&amp;n=470943&amp;dst=100225" TargetMode="External"/><Relationship Id="rId25" Type="http://schemas.openxmlformats.org/officeDocument/2006/relationships/hyperlink" Target="https://login.consultant.ru/link/?req=doc&amp;base=RZB&amp;n=470943&amp;dst=100780" TargetMode="External"/><Relationship Id="rId33" Type="http://schemas.openxmlformats.org/officeDocument/2006/relationships/hyperlink" Target="https://login.consultant.ru/link/?req=doc&amp;base=RZB&amp;n=470943&amp;dst=100798" TargetMode="External"/><Relationship Id="rId38" Type="http://schemas.openxmlformats.org/officeDocument/2006/relationships/hyperlink" Target="https://login.consultant.ru/link/?req=doc&amp;base=RZB&amp;n=470943&amp;dst=1010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70943&amp;dst=100222" TargetMode="External"/><Relationship Id="rId20" Type="http://schemas.openxmlformats.org/officeDocument/2006/relationships/hyperlink" Target="https://login.consultant.ru/link/?req=doc&amp;base=RZB&amp;n=470943&amp;dst=100558" TargetMode="External"/><Relationship Id="rId29" Type="http://schemas.openxmlformats.org/officeDocument/2006/relationships/hyperlink" Target="https://login.consultant.ru/link/?req=doc&amp;base=RZB&amp;n=470943&amp;dst=100789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8562&amp;dst=100051" TargetMode="External"/><Relationship Id="rId11" Type="http://schemas.openxmlformats.org/officeDocument/2006/relationships/hyperlink" Target="https://login.consultant.ru/link/?req=doc&amp;base=RZB&amp;n=470944&amp;dst=353" TargetMode="External"/><Relationship Id="rId24" Type="http://schemas.openxmlformats.org/officeDocument/2006/relationships/hyperlink" Target="https://login.consultant.ru/link/?req=doc&amp;base=RZB&amp;n=470943&amp;dst=100776" TargetMode="External"/><Relationship Id="rId32" Type="http://schemas.openxmlformats.org/officeDocument/2006/relationships/hyperlink" Target="https://login.consultant.ru/link/?req=doc&amp;base=RZB&amp;n=470943&amp;dst=100797" TargetMode="External"/><Relationship Id="rId37" Type="http://schemas.openxmlformats.org/officeDocument/2006/relationships/hyperlink" Target="https://login.consultant.ru/link/?req=doc&amp;base=RZB&amp;n=470943&amp;dst=100558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70943&amp;dst=100016" TargetMode="External"/><Relationship Id="rId23" Type="http://schemas.openxmlformats.org/officeDocument/2006/relationships/hyperlink" Target="https://login.consultant.ru/link/?req=doc&amp;base=RZB&amp;n=470943&amp;dst=100772" TargetMode="External"/><Relationship Id="rId28" Type="http://schemas.openxmlformats.org/officeDocument/2006/relationships/hyperlink" Target="https://login.consultant.ru/link/?req=doc&amp;base=RZB&amp;n=470943&amp;dst=100788" TargetMode="External"/><Relationship Id="rId36" Type="http://schemas.openxmlformats.org/officeDocument/2006/relationships/hyperlink" Target="https://login.consultant.ru/link/?req=doc&amp;base=RZB&amp;n=470943&amp;dst=100808" TargetMode="External"/><Relationship Id="rId10" Type="http://schemas.openxmlformats.org/officeDocument/2006/relationships/hyperlink" Target="https://login.consultant.ru/link/?req=doc&amp;base=RZB&amp;n=470944&amp;dst=100127" TargetMode="External"/><Relationship Id="rId19" Type="http://schemas.openxmlformats.org/officeDocument/2006/relationships/hyperlink" Target="https://login.consultant.ru/link/?req=doc&amp;base=RZB&amp;n=470943&amp;dst=4" TargetMode="External"/><Relationship Id="rId31" Type="http://schemas.openxmlformats.org/officeDocument/2006/relationships/hyperlink" Target="https://login.consultant.ru/link/?req=doc&amp;base=RZB&amp;n=470943&amp;dst=1007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0944&amp;dst=27" TargetMode="External"/><Relationship Id="rId14" Type="http://schemas.openxmlformats.org/officeDocument/2006/relationships/hyperlink" Target="https://login.consultant.ru/link/?req=doc&amp;base=RZB&amp;n=470944&amp;dst=100442" TargetMode="External"/><Relationship Id="rId22" Type="http://schemas.openxmlformats.org/officeDocument/2006/relationships/hyperlink" Target="https://login.consultant.ru/link/?req=doc&amp;base=RZB&amp;n=470943&amp;dst=100767" TargetMode="External"/><Relationship Id="rId27" Type="http://schemas.openxmlformats.org/officeDocument/2006/relationships/hyperlink" Target="https://login.consultant.ru/link/?req=doc&amp;base=RZB&amp;n=470943&amp;dst=100786" TargetMode="External"/><Relationship Id="rId30" Type="http://schemas.openxmlformats.org/officeDocument/2006/relationships/hyperlink" Target="https://login.consultant.ru/link/?req=doc&amp;base=RZB&amp;n=470943&amp;dst=100790" TargetMode="External"/><Relationship Id="rId35" Type="http://schemas.openxmlformats.org/officeDocument/2006/relationships/hyperlink" Target="https://login.consultant.ru/link/?req=doc&amp;base=RZB&amp;n=470943&amp;dst=1008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1726</Words>
  <Characters>9844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2025-02-25T11:38:00Z</dcterms:created>
  <dcterms:modified xsi:type="dcterms:W3CDTF">2025-02-25T11:39:00Z</dcterms:modified>
</cp:coreProperties>
</file>