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0" w:rsidRDefault="009906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06F0" w:rsidRDefault="009906F0">
      <w:pPr>
        <w:pStyle w:val="ConsPlusNormal"/>
        <w:jc w:val="both"/>
        <w:outlineLvl w:val="0"/>
      </w:pPr>
    </w:p>
    <w:p w:rsidR="009906F0" w:rsidRDefault="009906F0">
      <w:pPr>
        <w:pStyle w:val="ConsPlusTitle"/>
        <w:jc w:val="center"/>
        <w:outlineLvl w:val="0"/>
      </w:pPr>
      <w:r>
        <w:t>МИНИСТЕРСТВО НАУКИ И ВЫСШЕГО ОБРАЗОВАНИЯ</w:t>
      </w:r>
    </w:p>
    <w:p w:rsidR="009906F0" w:rsidRDefault="009906F0">
      <w:pPr>
        <w:pStyle w:val="ConsPlusTitle"/>
        <w:jc w:val="center"/>
      </w:pPr>
      <w:r>
        <w:t>РОССИЙСКОЙ ФЕДЕРАЦИИ</w:t>
      </w:r>
    </w:p>
    <w:p w:rsidR="009906F0" w:rsidRDefault="009906F0">
      <w:pPr>
        <w:pStyle w:val="ConsPlusTitle"/>
        <w:jc w:val="center"/>
      </w:pPr>
    </w:p>
    <w:p w:rsidR="009906F0" w:rsidRDefault="009906F0">
      <w:pPr>
        <w:pStyle w:val="ConsPlusTitle"/>
        <w:jc w:val="center"/>
      </w:pPr>
      <w:r>
        <w:t>ПИСЬМО</w:t>
      </w:r>
    </w:p>
    <w:p w:rsidR="009906F0" w:rsidRDefault="009906F0">
      <w:pPr>
        <w:pStyle w:val="ConsPlusTitle"/>
        <w:jc w:val="center"/>
      </w:pPr>
      <w:r>
        <w:t>от 18 июня 2025 г. N МН-5/1419</w:t>
      </w:r>
    </w:p>
    <w:p w:rsidR="009906F0" w:rsidRDefault="009906F0">
      <w:pPr>
        <w:pStyle w:val="ConsPlusTitle"/>
        <w:jc w:val="center"/>
      </w:pPr>
    </w:p>
    <w:p w:rsidR="009906F0" w:rsidRDefault="009906F0">
      <w:pPr>
        <w:pStyle w:val="ConsPlusTitle"/>
        <w:jc w:val="center"/>
      </w:pPr>
      <w:r>
        <w:t>О НАПРАВЛЕНИИ РЕКОМЕНДАЦИЙ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высшего образования в связи с изданием </w:t>
      </w:r>
      <w:hyperlink r:id="rId6">
        <w:r>
          <w:rPr>
            <w:color w:val="0000FF"/>
          </w:rPr>
          <w:t>приказа</w:t>
        </w:r>
      </w:hyperlink>
      <w:r>
        <w:t xml:space="preserve"> Минобрнауки России от 18 апреля 2025 г. N 366 "Об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аспирантуре" (зарегистрирован в Минюсте России 27 мая 2025 г. N 82351) направляет соответствующие методические </w:t>
      </w:r>
      <w:hyperlink w:anchor="P22">
        <w:r>
          <w:rPr>
            <w:color w:val="0000FF"/>
          </w:rPr>
          <w:t>рекомендации</w:t>
        </w:r>
      </w:hyperlink>
      <w:r>
        <w:t>.</w:t>
      </w:r>
      <w:proofErr w:type="gramEnd"/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right"/>
      </w:pPr>
      <w:r>
        <w:t>Врио директора Департамента</w:t>
      </w:r>
    </w:p>
    <w:p w:rsidR="009906F0" w:rsidRDefault="009906F0">
      <w:pPr>
        <w:pStyle w:val="ConsPlusNormal"/>
        <w:jc w:val="right"/>
      </w:pPr>
      <w:r>
        <w:t>государственной политики в сфере</w:t>
      </w:r>
    </w:p>
    <w:p w:rsidR="009906F0" w:rsidRDefault="009906F0">
      <w:pPr>
        <w:pStyle w:val="ConsPlusNormal"/>
        <w:jc w:val="right"/>
      </w:pPr>
      <w:r>
        <w:t>высшего образования</w:t>
      </w:r>
    </w:p>
    <w:p w:rsidR="009906F0" w:rsidRDefault="009906F0">
      <w:pPr>
        <w:pStyle w:val="ConsPlusNormal"/>
        <w:jc w:val="right"/>
      </w:pPr>
      <w:r>
        <w:t>Е.А.МИРЮГИНА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right"/>
        <w:outlineLvl w:val="0"/>
      </w:pPr>
      <w:r>
        <w:t>Приложение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</w:pPr>
      <w:bookmarkStart w:id="0" w:name="P22"/>
      <w:bookmarkEnd w:id="0"/>
      <w:r>
        <w:t>МЕТОДИЧЕСКИЕ РЕКОМЕНДАЦИИ</w:t>
      </w:r>
    </w:p>
    <w:p w:rsidR="009906F0" w:rsidRDefault="009906F0">
      <w:pPr>
        <w:pStyle w:val="ConsPlusTitle"/>
        <w:jc w:val="center"/>
      </w:pPr>
      <w:r>
        <w:t xml:space="preserve">ПО ПРИЕМУ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9906F0" w:rsidRDefault="009906F0">
      <w:pPr>
        <w:pStyle w:val="ConsPlusTitle"/>
        <w:jc w:val="center"/>
      </w:pPr>
      <w:r>
        <w:t xml:space="preserve">ВЫСШЕГО ОБРАЗОВАНИЯ - ПРОГРАММАМ ПОДГОТОВКИ </w:t>
      </w:r>
      <w:proofErr w:type="gramStart"/>
      <w:r>
        <w:t>НАУЧНЫХ</w:t>
      </w:r>
      <w:proofErr w:type="gramEnd"/>
    </w:p>
    <w:p w:rsidR="009906F0" w:rsidRDefault="009906F0">
      <w:pPr>
        <w:pStyle w:val="ConsPlusTitle"/>
        <w:jc w:val="center"/>
      </w:pPr>
      <w:r>
        <w:t>И НАУЧНО-ПЕДАГОГИЧЕСКИХ КАДРОВ В АСПИРАНТУРЕ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I. Общие положения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Прием на обучение по программам подготовки научных и научно-педагогических кадров в аспирантуре (далее соответственно - прием на обучение, программы аспирантуры) регулируется </w:t>
      </w:r>
      <w:hyperlink r:id="rId7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высшего образования - программам подготовки научных и научно-педагогических кадров в аспирантуре, утвержденным приказом Минобрнауки России от 18 апреля 2025 г. N 366 (зарегистрирован в Минюсте России 27 мая 2025 г. N 82351).</w:t>
      </w:r>
      <w:proofErr w:type="gramEnd"/>
    </w:p>
    <w:p w:rsidR="009906F0" w:rsidRDefault="009906F0">
      <w:pPr>
        <w:pStyle w:val="ConsPlusNormal"/>
        <w:spacing w:before="220"/>
        <w:ind w:firstLine="540"/>
        <w:jc w:val="both"/>
      </w:pPr>
      <w:r>
        <w:t>2. Прием на обучение проводится: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1) на места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 приема):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места в пределах квоты приема на целевое обучение (далее - целевая квота);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места в рамках контрольных цифр приема за вычетом целевой квоты (далее - основные бюджетные места);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2) на места для </w:t>
      </w:r>
      <w:proofErr w:type="gramStart"/>
      <w:r>
        <w:t>обучения по договорам</w:t>
      </w:r>
      <w:proofErr w:type="gramEnd"/>
      <w:r>
        <w:t xml:space="preserve"> об образовании, заключаемым при приеме на обучение за счет средств физических и (или) юридических лиц, и за счет собственных средств </w:t>
      </w:r>
      <w:r>
        <w:lastRenderedPageBreak/>
        <w:t>организации (далее - платные места).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3. Для проведения приема на обучение организация, осуществляющая образовательную деятельность (далее - организация), самостоятельно устанавливает: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перечень вступительных испытаний;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по каждому вступительному испытанию - максимальное количество баллов и минимальное количество баллов, подтверждающее успешное прохождение вступительного испытания (далее - минимальное количество баллов);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перечень индивидуальных достижений поступающих (далее - индивидуальные достижения) и порядок их учета.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II. Вступительные испытания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>4. Перечень вступительных испытаний устанавливается по усмотрению организации и может включать в себя любое количество вступительных испытаний.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5. Максимальное количество баллов и минимальное количество баллов устанавливаются по усмотрению организации. Для различных вступительных испытаний могут использоваться различные шкалы оценивания.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6. Организация может учитывать в качестве результатов вступительных испытаний результаты кандидатских экзаменов, сданных поступающим в этой и (или) иной организации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прикрепления лиц для сдачи кандидатских экзаменов, сдачи кандидатских экзаменов и их перечнем, утвержденным приказом Минобрнауки России от 28 марта 2014 г. N 247.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7. Организация устанавливает расписание вступительных испытаний, в том числе один или несколько резервных дней для сдачи вступительных испытаний лицами, не прошедшими вступительное испытание (испытания) по уважительной причине.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III. Учет индивидуальных достижений поступающих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 xml:space="preserve">8. Организация может учитывать при приеме на обучение индивидуальные достижения </w:t>
      </w:r>
      <w:proofErr w:type="gramStart"/>
      <w:r>
        <w:t>поступающих</w:t>
      </w:r>
      <w:proofErr w:type="gramEnd"/>
      <w:r>
        <w:t>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9. Учет индивидуальных достижений осуществляется следующими способами: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1) организация начисляет </w:t>
      </w:r>
      <w:proofErr w:type="gramStart"/>
      <w:r>
        <w:t>поступающему</w:t>
      </w:r>
      <w:proofErr w:type="gramEnd"/>
      <w:r>
        <w:t xml:space="preserve"> баллы, которые включаются в сумму конкурсных баллов: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за общие индивидуальные достижения;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за целевые индивидуальные достижения;</w:t>
      </w:r>
    </w:p>
    <w:p w:rsidR="009906F0" w:rsidRDefault="009906F0">
      <w:pPr>
        <w:pStyle w:val="ConsPlusNormal"/>
        <w:spacing w:before="220"/>
        <w:ind w:firstLine="540"/>
        <w:jc w:val="both"/>
      </w:pPr>
      <w:proofErr w:type="gramStart"/>
      <w:r>
        <w:t>2) организация учитывает индивидуальные достижения при равенстве поступающих по иным критериям ранжирования в конкурсных списках.</w:t>
      </w:r>
      <w:proofErr w:type="gramEnd"/>
    </w:p>
    <w:p w:rsidR="009906F0" w:rsidRDefault="009906F0">
      <w:pPr>
        <w:pStyle w:val="ConsPlusNormal"/>
        <w:spacing w:before="220"/>
        <w:ind w:firstLine="540"/>
        <w:jc w:val="both"/>
      </w:pPr>
      <w:r>
        <w:t>10. Организация самостоятельно устанавливает перечень общих индивидуальных достижений и порядок их учета, в том числе количество начисляемых баллов.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11. Целевые индивидуальные достижения учитываются только при приеме на места в рамках целевой квоты путем начисления баллов. В качестве целевых индивидуальных достижений рассматривается участие в мероприятиях по профессиональной ориентации, </w:t>
      </w:r>
      <w:r>
        <w:lastRenderedPageBreak/>
        <w:t>проводимых заказчиком целевого обучения (далее - профориентационные мероприятия). Организация самостоятельно устанавливает количество баллов за целевые индивидуальные достижения, которое составляет от одного до 5 баллов.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Количество баллов за целевые индивидуальные достижения, установленное организацией, является одинаковым для всех поступающих, которые участвовали в профориентационных мероприятиях (по всем заказчикам целевого обучения, проводившим указанные мероприятия).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12. В качестве индивидуальных достижений, учитываемых при равенстве поступающих по иным критериям ранжирования в конкурсных списках, организация устанавливает средний балл документа об образовании, и (или) баллы по отдельным учебным дисциплинам, и (или) иные индивидуальные достижения. </w:t>
      </w:r>
      <w:proofErr w:type="gramStart"/>
      <w:r>
        <w:t>В случае равенства поступающих по указанным достижениям перечень таких достижений может быть дополнен в период проведения приема на обучение.</w:t>
      </w:r>
      <w:proofErr w:type="gramEnd"/>
      <w:r>
        <w:t xml:space="preserve"> Порядок учета индивидуальных достижений, учитываемых при равенстве поступающих по иным критериям ранжирования в конкурсных списках, устанавливается организацией самостоятельно.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IV. Прием заявлений и документов, списки подавших заявление</w:t>
      </w:r>
    </w:p>
    <w:p w:rsidR="009906F0" w:rsidRDefault="009906F0">
      <w:pPr>
        <w:pStyle w:val="ConsPlusTitle"/>
        <w:jc w:val="center"/>
      </w:pPr>
      <w:r>
        <w:t>и конкурсные списки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>13. С 2025 года прием заявлений о приеме на обучение (далее - заявления о приеме) и документов, необходимых для поступления, осуществляется, в том числе, посредством федеральной государственной информационной системы "Единый портал государственных и муниципальных услуг (функций)" (далее - ЕПГУ) с использованием суперсервиса "Поступление в вуз онлайн".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Функционирование суперсервиса "Поступление в вуз онлайн" регулируется </w:t>
      </w:r>
      <w:hyperlink r:id="rId9">
        <w:r>
          <w:rPr>
            <w:color w:val="0000FF"/>
          </w:rPr>
          <w:t>Положением</w:t>
        </w:r>
      </w:hyperlink>
      <w:r>
        <w:t xml:space="preserve"> о функционировании суперсервиса "Поступление в вуз онлайн", утвержденным постановлением Правительства Российской Федерации от 26 января 2023 г. N 89.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Поступающий</w:t>
      </w:r>
      <w:proofErr w:type="gramEnd"/>
      <w:r>
        <w:t xml:space="preserve"> подает заявление о приеме и (или) документы, необходимые для поступления, следующими способами (по своему решению):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представляет в организацию лично;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направляет в организацию через оператора почтовой связи общего пользования (далее - оператор почтовой связи);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направляет в организацию в электронной форме посредством электронной информационной системы организации;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представляет посредством ЕПГУ.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15. Заявление о приеме подается раздельно на места в рамках контрольных цифр приема и на платные места.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16. В заявлении о приеме </w:t>
      </w:r>
      <w:proofErr w:type="gramStart"/>
      <w:r>
        <w:t>поступающий</w:t>
      </w:r>
      <w:proofErr w:type="gramEnd"/>
      <w:r>
        <w:t xml:space="preserve"> указывает конкурсные группы и приоритеты зачисления по каждой конкурсной группе.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Поступающий</w:t>
      </w:r>
      <w:proofErr w:type="gramEnd"/>
      <w:r>
        <w:t xml:space="preserve"> указывает следующие приоритеты зачисления: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1) для поступления на места в рамках контрольных цифр приема: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приоритет зачисления на места в пределах целевой квоты (далее - приоритет целевой квоты);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приоритет зачисления на основные бюджетные места (далее - приоритет основных </w:t>
      </w:r>
      <w:r>
        <w:lastRenderedPageBreak/>
        <w:t>бюджетных мест);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2) для поступления на платные места - приоритет зачисления на платные места.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18. Приоритеты зачисления обозначаются порядковыми номерами (целыми числами, начиная с единицы, где 1 - наиболее приоритетная конкурсная группа).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Поступающий</w:t>
      </w:r>
      <w:proofErr w:type="gramEnd"/>
      <w:r>
        <w:t xml:space="preserve">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Последовательность приоритетов зачисления на места в рамках контрольных цифр приема является единой по организации в целом, то есть включает все конкурсные группы на места в рамках контрольных цифр приема (с учетом филиалов). Последовательность приоритетов зачисления на платные места также является единой по организации в целом, то есть включает все конкурсные группы на платные места (с учетом филиалов).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В соответствии с этим: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заявление о приеме на места в рамках контрольных цифр приема является единым по организации в целом;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заявление о приеме на платные места является единым по организации в целом.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20. Со дня начала приема заявлений и документов организация формирует списки подавших заявление.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21. По результатам приема заявлений о приеме и документов, а также проведения вступительных испытаний организация формирует конкурсные списки.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22. Списки </w:t>
      </w:r>
      <w:proofErr w:type="gramStart"/>
      <w:r>
        <w:t>подавших</w:t>
      </w:r>
      <w:proofErr w:type="gramEnd"/>
      <w:r>
        <w:t xml:space="preserve"> заявление и конкурсные списки формируются для каждого конкурса.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23. Списки </w:t>
      </w:r>
      <w:proofErr w:type="gramStart"/>
      <w:r>
        <w:t>подавших</w:t>
      </w:r>
      <w:proofErr w:type="gramEnd"/>
      <w:r>
        <w:t xml:space="preserve"> заявление и конкурсные списки публикуются на официальном сайте организации и на ЕПГУ.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V. Зачисление, подача и отзыв согласия на зачисление,</w:t>
      </w:r>
    </w:p>
    <w:p w:rsidR="009906F0" w:rsidRDefault="009906F0">
      <w:pPr>
        <w:pStyle w:val="ConsPlusTitle"/>
        <w:jc w:val="center"/>
      </w:pPr>
      <w:r>
        <w:t>отказ от зачисления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>24. Зачисление проводится согласно конкурсным спискам в соответствии с приоритетами зачисления, указанными в заявлении о приеме, до заполнения установленного количества мест.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25. Для зачисления на места в рамках контрольных цифр приема </w:t>
      </w:r>
      <w:proofErr w:type="gramStart"/>
      <w:r>
        <w:t>поступающий</w:t>
      </w:r>
      <w:proofErr w:type="gramEnd"/>
      <w:r>
        <w:t xml:space="preserve"> представляет согласие на зачисление. Согласие на зачисление является аналогом представляемого ранее оригинала документа об образовании. Согласие на зачисление представляется в ту организацию, в которую </w:t>
      </w:r>
      <w:proofErr w:type="gramStart"/>
      <w:r>
        <w:t>поступающий</w:t>
      </w:r>
      <w:proofErr w:type="gramEnd"/>
      <w:r>
        <w:t xml:space="preserve"> хочет быть зачисленным, и применяется ко всем конкурсным группам на места в рамках контрольных цифр приема в данной организации.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26. Согласие на зачисление представляется следующими способами (по выбору </w:t>
      </w:r>
      <w:proofErr w:type="gramStart"/>
      <w:r>
        <w:t>поступающего</w:t>
      </w:r>
      <w:proofErr w:type="gramEnd"/>
      <w:r>
        <w:t>):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в электронном виде посредством проставления на ЕПГУ электронной отметки о согласии на зачисление (представление согласия на зачисление в электронном виде осуществляется не чаще чем один раз в 2 часа);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бумажном носителе посредством подачи в организацию заявления о согласии на зачисление (лично или через оператора почтовой связи).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lastRenderedPageBreak/>
        <w:t>Согласие на зачисление не может быть представлено посредством электронной информационной системы организации.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27. Организация устанавливает день завершения представления согласия на зачисление на места в рамках контрольных цифр приема.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28. Для зачисления организация определяет для каждого поступающего высшие приоритеты на основании приоритетов зачисления, указанных </w:t>
      </w:r>
      <w:proofErr w:type="gramStart"/>
      <w:r>
        <w:t>поступающими</w:t>
      </w:r>
      <w:proofErr w:type="gramEnd"/>
      <w:r>
        <w:t xml:space="preserve"> в заявлении о приеме: основной высший приоритет и высший проходной приоритет.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Основной высший приоритет - наиболее высокий приоритет зачисления, по которому поступающий проходит по конкурсу, определяемый для </w:t>
      </w:r>
      <w:proofErr w:type="gramStart"/>
      <w:r>
        <w:t>поступающих</w:t>
      </w:r>
      <w:proofErr w:type="gramEnd"/>
      <w:r>
        <w:t>, включенных в конкурсный список, вне зависимости от наличия согласия на зачисление. Основной высший приоритет определяется для всех поступающих, которые проходят по конкурсу.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Высший проходной приоритет - наиболее высокий приоритет зачисления, по которому поступающий проходит по конкурсу, определяемый для </w:t>
      </w:r>
      <w:proofErr w:type="gramStart"/>
      <w:r>
        <w:t>поступающих</w:t>
      </w:r>
      <w:proofErr w:type="gramEnd"/>
      <w:r>
        <w:t xml:space="preserve">, представивших согласие на зачисление. Высший проходной приоритет определяется только для </w:t>
      </w:r>
      <w:proofErr w:type="gramStart"/>
      <w:r>
        <w:t>поступающих</w:t>
      </w:r>
      <w:proofErr w:type="gramEnd"/>
      <w:r>
        <w:t>, представивших согласие на зачисление.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29.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(лично или через оператора почтовой связи) (далее - отзыв согласия на зачисление).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Поступающий</w:t>
      </w:r>
      <w:proofErr w:type="gramEnd"/>
      <w:r>
        <w:t>, зачисленный на обучение, имеет право отказаться от зачисления без отзыва согласия на зачисление.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31. В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на зачисление.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VI. Зачисление на места в рамках контрольных цифр приема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>32. Зачисление на места в рамках контрольных цифр приема проводится в 2 этапа: основной этап зачисления и дополнительный этап зачисления.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каждом этапе зачисления организация определяет основной высший приоритет и высший проходной приоритет: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 xml:space="preserve">основной высший приоритет используется исключительно для информирования </w:t>
      </w:r>
      <w:proofErr w:type="gramStart"/>
      <w:r>
        <w:t>поступающих</w:t>
      </w:r>
      <w:proofErr w:type="gramEnd"/>
      <w:r>
        <w:t>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высший проходной приоритет используется для зачисления.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33. На основном этапе зачисления проводится зачисление на места в пределах целевой квоты и на основные бюджетные места: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в случае если высший проходной приоритет является приоритетом целевой квоты, поступающий зачисляется на места в пределах целевой квоты;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в случае если высший проходной приоритет является приоритетом основных бюджетных мест, поступающий зачисляется на основные бюджетные места.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34. Места в пределах целевой квоты, которые являются незаполненными, добавляются к основным бюджетным местам.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lastRenderedPageBreak/>
        <w:t>35. 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36. В случае если поступающий, зачисленный на основном этапе зачисления, хочет участвовать в дополнительном этапе зачисления в ту же организацию, он отказывается от зачисления, проведенного на основном этапе зачисления.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Лица,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зачисления, рассматриваются при проведении зачисления на дополнительном этапе зачисления.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Лица,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зачисления, не подлежат зачислению на дополнительном этапе зачисления.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37. В случае если поступающий, зачисленный на основном этапе зачисления, хочет участвовать 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 зачисления, проведенного на основном этапе зачисления, и отзывает согласие на зачисление.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Title"/>
        <w:jc w:val="center"/>
        <w:outlineLvl w:val="1"/>
      </w:pPr>
      <w:r>
        <w:t>VII. Проведение дополнительного приема на обучение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ind w:firstLine="540"/>
        <w:jc w:val="both"/>
      </w:pPr>
      <w:r>
        <w:t>38. При наличии незаполненных мест после завершения зачисления организация проводит дополнительный прием на обучение (далее - дополнительный прием).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39. Дополнительный прием проводится: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места в рамках контрольных цифр приема - для всех поступающих, желающих участвовать в дополнительном приеме;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на платные места - только для лиц, поступающих на обучение на основании документа иностранного государства об образовании.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40. Если количество незаполненных мест в рамках контрольных цифр приема по конкретной научной специальности или конкретной программе аспирантуры (профилю) и конкретной форме обучения в организации или филиале составляет 10 или более, дополнительный прием на места в рамках контрольных цифр приема проводится в обязательном порядке. В ином случае дополнительный прием проводится по решению организации.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Дополнительный прием на платные места для лиц, поступающих на обучение на основании документа иностранного государства об образовании, проводится по решению организации.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41. Дополнительный прием на места в рамках контрольных цифр приема проводится только на основные бюджетные места. В ходе дополнительного приема на места в рамках контрольных цифр приема не проводится дополнительное зачисление.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42. При проведении дополнительного приема организация может перераспределить места в рамках контрольных цифр приема в пределах группы научных специальностей. Указанное перераспределение проводится: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только между научными специальностями, программами аспирантуры (профилями), по которым был объявлен прием на обучение на места в рамках контрольных цифр приема;</w:t>
      </w:r>
    </w:p>
    <w:p w:rsidR="009906F0" w:rsidRDefault="009906F0">
      <w:pPr>
        <w:pStyle w:val="ConsPlusNormal"/>
        <w:spacing w:before="220"/>
        <w:ind w:firstLine="540"/>
        <w:jc w:val="both"/>
      </w:pPr>
      <w:r>
        <w:t>без переноса мест между формами обучения, между организацией (без учета филиалов) и филиалами.</w:t>
      </w: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jc w:val="both"/>
      </w:pPr>
    </w:p>
    <w:p w:rsidR="009906F0" w:rsidRDefault="009906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D11" w:rsidRDefault="00B34D11">
      <w:bookmarkStart w:id="1" w:name="_GoBack"/>
      <w:bookmarkEnd w:id="1"/>
    </w:p>
    <w:sectPr w:rsidR="00B34D11" w:rsidSect="00EA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F0"/>
    <w:rsid w:val="006E4932"/>
    <w:rsid w:val="009906F0"/>
    <w:rsid w:val="00B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0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0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0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96958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506337&amp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6337&amp;dst=100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0983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2025-06-27T06:41:00Z</dcterms:created>
  <dcterms:modified xsi:type="dcterms:W3CDTF">2025-06-27T06:41:00Z</dcterms:modified>
</cp:coreProperties>
</file>