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23.06.2025 N ОК-1835/08</w:t>
              <w:br/>
              <w:t xml:space="preserve">"О примерных штатных нормативах"</w:t>
              <w:br/>
              <w:t xml:space="preserve">(вместе с "Общими положениями", "Примерными штатными нормативами численности работников общеобразовательных организаций")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23 июня 2025 г. N ОК-1835/08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ПРИМЕРНЫХ ШТАТНЫХ НОРМАТИВАХ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работы по вопросам применения в субъектах Российской Федерации постановлений Конституционного Суда Российской Федерации от 23 сентября 2024 года </w:t>
      </w:r>
      <w:hyperlink w:history="0" r:id="rId7" w:tooltip="Постановление Конституционного Суда РФ от 23.09.2024 N 40-П &quot;По делу о проверке конституционности статьи 129, частей первой и третьей статьи 133, частей первой - четвертой и одиннадцатой статьи 133.1 Трудового кодекса Российской Федерации в связи с жалобой гражданки Е.Н. Харюшевой&quot; {КонсультантПлюс}">
        <w:r>
          <w:rPr>
            <w:sz w:val="20"/>
            <w:color w:val="0000ff"/>
          </w:rPr>
          <w:t xml:space="preserve">N 40-П</w:t>
        </w:r>
      </w:hyperlink>
      <w:r>
        <w:rPr>
          <w:sz w:val="20"/>
        </w:rPr>
        <w:t xml:space="preserve"> и от 5 марта 2025 г. </w:t>
      </w:r>
      <w:hyperlink w:history="0" r:id="rId8" w:tooltip="Постановление Конституционного Суда РФ от 05.03.2025 N 10-П &quot;По делу о проверке конституционности абзаца пятого части первой статьи 21, абзаца седьмого части второй статьи 22, части четвертой статьи 60.2, части третьей статьи 93, статьи 129, частей первой и третьей статьи 133, частей первой - четвертой и одиннадцатой статьи 133.1, а также частей первой и второй статьи 135 Трудового кодекса Российской Федерации в связи с жалобой гражданина Е.В. Неверова&quot; {КонсультантПлюс}">
        <w:r>
          <w:rPr>
            <w:sz w:val="20"/>
            <w:color w:val="0000ff"/>
          </w:rPr>
          <w:t xml:space="preserve">N 10-П</w:t>
        </w:r>
      </w:hyperlink>
      <w:r>
        <w:rPr>
          <w:sz w:val="20"/>
        </w:rPr>
        <w:t xml:space="preserve"> и в целях оказания методической помощи при реализации положений, предусмотренных </w:t>
      </w:r>
      <w:hyperlink w:history="0" r:id="rId9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4 части 3 статьи 28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в соответствии с которыми к компетенции образовательной организации относится установление штатного расписания, Минпросвещения России направляет для использования в работе примерные штатные нормативы численности работников образовательных организаций, в том числе инклюзивных.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Минпросвещения России сообщает, что примерные штатные нормативы численности работников отдельных общеобразовательных организаций, реализующих адаптированные основные общеобразовательные программы ("коррекционных" школ), а также примерные штатные нормативы численности работников специальных учебно-воспитательных учреждений будут направлены в адрес руководителей органов исполнительной власти субъектов Российской Федерации, осуществляющих государственное управление в сфере образования, дополнительно.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министра</w:t>
      </w:r>
    </w:p>
    <w:p>
      <w:pPr>
        <w:pStyle w:val="0"/>
        <w:jc w:val="right"/>
      </w:pPr>
      <w:r>
        <w:rPr>
          <w:sz w:val="20"/>
        </w:rPr>
        <w:t xml:space="preserve">О.П.КОЛУДАРОВА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компетенции организации, осуществляющей образовательную деятельность (далее - образовательная организация) в установленной сфере деятельности относится установление штатного расписания, если иное не установлено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штатного расписания образовательной организации рекомендуется осуществлять с учетом следующих законодательных и нормативных правовых актов, разъяснений и рекомендаций: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Федерального </w:t>
      </w:r>
      <w:hyperlink w:history="0" r:id="rId10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 декабря 2012 г. N 273-ФЗ "Об образовании в Российской Федерации", в том числе связанных с наименованиями образовательных организаций (далее - Федеральный закон N 273-ФЗ);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части 2 статьи 57</w:t>
        </w:r>
      </w:hyperlink>
      <w:r>
        <w:rPr>
          <w:sz w:val="20"/>
        </w:rPr>
        <w:t xml:space="preserve"> Трудового кодекса Российской Федерации (далее - ТК РФ), предусматривающей, что если в соответствии с </w:t>
      </w:r>
      <w:hyperlink w:history="0" r:id="rId12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ТК</w:t>
        </w:r>
      </w:hyperlink>
      <w:r>
        <w:rPr>
          <w:sz w:val="20"/>
        </w:rPr>
        <w:t xml:space="preserve">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sz w:val="20"/>
            <w:color w:val="0000ff"/>
          </w:rPr>
          <w:t xml:space="preserve">номенклатуры</w:t>
        </w:r>
      </w:hyperlink>
      <w:r>
        <w:rPr>
          <w:sz w:val="20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6.10.2010 N 1863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Минздравсоцразвития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5" w:tooltip="Приказ Минтруда России от 30.09.2013 N 504 &quot;Об утверждении методических рекомендаций по разработке систем нормирования труда в государственных (муниципальных) учреждениях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30 сентября 2013 г. N 504 "Об утверждении методических рекомендаций по разработке систем нормирования труда в государственных (муниципальных) учреждениях";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Приказ Минпросвещения России от 22.03.2021 N 115 (ред. от 04.03.202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20.04.2021 N 6318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риказ Минпросвещения России от 31.07.2020 N 373 (ред. от 25.10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31.08.2020 N 595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(далее - приказ Минпросвещения России N 373);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риказ Минпросвещения России от 24.08.2022 N 762 (ред. от 20.12.2022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21.09.2022 N 7016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24 августа 2022 г.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Приказ Минпросвещения России от 27.07.2022 N 629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6.09.2022 N 702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 (далее - приказ Минпросвещения России N 629);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&quot; (Зарегистрировано в Минюсте России 19.11.2024 N 8022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6 ноября 2024 г. N 778 "Об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Приказ Минпросвещения России от 22.09.2021 N 662 (ред. от 15.09.2022) &quot;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22 сентября 2021 г. N 662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2" w:tooltip="Приказ Минпросвещения России от 04.04.2025 N 269 &quot;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4 апреля 2025 г. N 269 "О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нагрузки" (далее - приказ Минпросвещения России N 269);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3" w:tooltip="Приказ Минпросвещения России от 04.04.2025 N 268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&quot; (Зарегистрировано в Минюсте России 12.05.2025 N 82116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4 апреля 2025 г. N 268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обучения" (далее - приказ Минпросвещения России N 268);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Постановление Минтруда РФ от 21.04.1993 N 88 &quot;Об утверждении Нормативов по определению численности персонала, занятого обслуживанием дошкольных учреждений (ясли, ясли-сады, детские сады)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Минтруда России от 21 апреля 1993 г. N 88 "Об утверждении нормативов по определению численности персонала, занятого обслуживанием дошкольных учреждений (ясли, ясли-сад, детские сады)" (далее - постановление Минтруда России N 88);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5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29 сентября 2014 г. N 667н "О реестре профессиональных стандартов (перечне видов профессиональной деятельности)"; профессиональных стандартов, утвержденных приказами Минтруда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&quot;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&quot; (утв. решением Российской трехсторонней комиссии по регулированию социально-трудовых отношений от 23.12.2024, протокол N 10пр) {КонсультантПлюс}">
        <w:r>
          <w:rPr>
            <w:sz w:val="20"/>
            <w:color w:val="0000ff"/>
          </w:rPr>
          <w:t xml:space="preserve">пункта 36.3 раздела IX</w:t>
        </w:r>
      </w:hyperlink>
      <w:r>
        <w:rPr>
          <w:sz w:val="20"/>
        </w:rPr>
        <w:t xml:space="preserve">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2025 год, утвержденных решением Российской трехсторонней комиссии по регулированию социально-трудовых отношений от 23 декабря 2024 г., протокол N 10пр;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8" w:tooltip="Распоряжение Минпросвещения России от 06.08.2020 N Р-75 (ред. от 06.04.2021) &quot;Об утверждении примерного Положения об оказании логопедической помощи в организац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Минпросвещения России от 6 августа 2020 г. N Р-75 "Об утверждении примерного Положения об оказании логопедической помощи в организациях, осуществляющих образовательную деятельность" с учетом </w:t>
      </w:r>
      <w:hyperlink w:history="0" r:id="rId29" w:tooltip="&lt;Письмо&gt; Минпросвещения России от 24.11.2020 N ДГ-2210/07 &quot;О направлении разъяснений&quot; (вместе с &quot;Разъяснениями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&quot;, утв. Минпросвещения России, Профсоюзом работников народного образования и науки РФ) {КонсультантПлюс}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обязанностей, подготовленного Минпросвещения России и Общероссийским Профсоюзом образования (письмо от 24 ноября 2020 г. N ДГ-2210/07);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0" w:tooltip="Распоряжение Минпросвещения России от 28.12.2020 N Р-193 (ред. от 26.09.2023) &quot;Об утверждении методических рекомендаций по системе функционирования психологических служб в общеобразовательных организациях&quot; (вместе с &quot;Системой функционирования психологических служб в общеобразовательных организациях. Методические рекомендации&quot;)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Минпросвещения России от 28 декабря 2020 г. N Р-193 "Об утверждении методических рекомендаций по системе функционирования психологических служб в общеобразовательных организациях";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методических </w:t>
      </w:r>
      <w:hyperlink w:history="0" r:id="rId31" w:tooltip="&lt;Письмо&gt; Минпросвещения России от 02.03.2022 N 05-249 &quot;О направлении методических рекомендаций&quot; (вместе с &quot;Методическими рекомендациям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&quot;, утв. ФГБОУ ДПО &quot;Институт развития профессионального образования 01.03.2022) {КонсультантПлюс}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обучения, (письмо Минпросвещения России от 2 марта 2022 г. N 05-249);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совместного </w:t>
      </w:r>
      <w:hyperlink w:history="0" r:id="rId32" w:tooltip="&lt;Письмо&gt; Минпросвещения России N 08-1535, Общероссийского Профсоюза образования N 584 от 08.11.2024 &lt;О направлении ответов на часто задаваемые вопросы, связанные с преподаванием учебного предмета &quot;Основы безопасности и защиты Родины&quot; и правовым положением преподавателя-организатора основ безопасности и защиты Родины&gt; {КонсультантПлюс}">
        <w:r>
          <w:rPr>
            <w:sz w:val="20"/>
            <w:color w:val="0000ff"/>
          </w:rPr>
          <w:t xml:space="preserve">письма</w:t>
        </w:r>
      </w:hyperlink>
      <w:r>
        <w:rPr>
          <w:sz w:val="20"/>
        </w:rPr>
        <w:t xml:space="preserve"> Минпросвещения России и Общероссийского Профсоюза образования от 8 ноября 2024 г. N 584 по вопросам замены должности "преподаватель-организатор основ безопасности жизнедеятельности" на "преподаватель-организатор основ безопасности и защиты Родины";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3" w:tooltip="Ссылка на КонсультантПлюс">
        <w:r>
          <w:rPr>
            <w:sz w:val="20"/>
            <w:color w:val="0000ff"/>
          </w:rPr>
          <w:t xml:space="preserve">письма</w:t>
        </w:r>
      </w:hyperlink>
      <w:r>
        <w:rPr>
          <w:sz w:val="20"/>
        </w:rPr>
        <w:t xml:space="preserve"> Минобрнауки России от 30 июля 2018 г. N 07-4587 (о проектах нормативов штатной численности педагогов-психологов в образовательных организациях).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случаях, когда по условиям и объему работы по отдельным должностям не могут быть применены примерные штатные нормативы численности работников образовательных организаций, указанные в </w:t>
      </w:r>
      <w:hyperlink w:history="0" w:anchor="P54" w:tooltip="ПРИМЕРНЫЕ ШТАТНЫЕ НОРМАТИВЫ">
        <w:r>
          <w:rPr>
            <w:sz w:val="20"/>
            <w:color w:val="0000ff"/>
          </w:rPr>
          <w:t xml:space="preserve">приложениях 2</w:t>
        </w:r>
      </w:hyperlink>
      <w:r>
        <w:rPr>
          <w:sz w:val="20"/>
        </w:rPr>
        <w:t xml:space="preserve"> - 5 (далее - примерные штатные нормативы), образовательные организации вправе заменять такие должности другими, увеличивать примерный штатный норматив по соответствующей должности и (или) устанавливать дополнительные должности работников, не предусмотренные примерными штатными нормативами, по согласованию с учредителем.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</w:r>
    </w:p>
    <w:bookmarkStart w:id="54" w:name="P54"/>
    <w:bookmarkEnd w:id="54"/>
    <w:p>
      <w:pPr>
        <w:pStyle w:val="2"/>
        <w:jc w:val="center"/>
      </w:pPr>
      <w:r>
        <w:rPr>
          <w:sz w:val="20"/>
        </w:rPr>
        <w:t xml:space="preserve">ПРИМЕРНЫЕ ШТАТНЫЕ НОРМАТИВЫ</w:t>
      </w:r>
    </w:p>
    <w:p>
      <w:pPr>
        <w:pStyle w:val="2"/>
        <w:jc w:val="center"/>
      </w:pPr>
      <w:r>
        <w:rPr>
          <w:sz w:val="20"/>
        </w:rPr>
        <w:t xml:space="preserve">ЧИСЛЕННОСТИ РАБОТНИКОВ ОБЩЕОБРАЗОВАТЕЛЬНЫХ ОРГАНИЗАЦИЙ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0"/>
        <w:gridCol w:w="5970"/>
      </w:tblGrid>
      <w:tr>
        <w:tc>
          <w:tcPr>
            <w:tcW w:w="3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9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 работников в зависимости от численности обучающихся и других условий определения их количества</w:t>
            </w:r>
          </w:p>
        </w:tc>
      </w:tr>
      <w:tr>
        <w:tc>
          <w:tcPr>
            <w:tcW w:w="306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2"/>
            <w:tcW w:w="9030" w:type="dxa"/>
            <w:vAlign w:val="bottom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Должности работников административно-управленческого персонала (АУП)</w:t>
            </w:r>
          </w:p>
        </w:tc>
      </w:tr>
      <w:tr>
        <w:tc>
          <w:tcPr>
            <w:tcW w:w="306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</w:t>
            </w:r>
          </w:p>
        </w:tc>
        <w:tc>
          <w:tcPr>
            <w:tcW w:w="5970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по учебной (учебно-воспитательной, воспитательной) работе</w:t>
            </w:r>
          </w:p>
        </w:tc>
        <w:tc>
          <w:tcPr>
            <w:tcW w:w="5970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200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200 до 299 чел. - 1;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300 до 399 чел. - 1,5;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400 до 599 чел. - 2;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600 до 799 чел. - 2,5;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800 чел. и более - 3</w:t>
            </w:r>
          </w:p>
        </w:tc>
      </w:tr>
      <w:tr>
        <w:tc>
          <w:tcPr>
            <w:tcW w:w="3060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по административно-хозяйственной работе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 300 и более чел.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5970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80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- 80 и более чел.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хозяйством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200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200 до 299 чел. - 1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наличии обособленного структурного подразделения (филиала), расположенного на отдельной территории, предусматривается дополнительно 0,5 единицы должности заведующего хозяйством, независимо от численности обучающихся</w:t>
            </w:r>
          </w:p>
        </w:tc>
      </w:tr>
      <w:tr>
        <w:tc>
          <w:tcPr>
            <w:tcW w:w="306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Заведующий библиотекой</w:t>
            </w:r>
          </w:p>
        </w:tc>
        <w:tc>
          <w:tcPr>
            <w:tcW w:w="597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 340 и более чел. - 1</w:t>
            </w:r>
          </w:p>
        </w:tc>
      </w:tr>
      <w:tr>
        <w:tc>
          <w:tcPr>
            <w:gridSpan w:val="2"/>
            <w:tcW w:w="903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Должности работников учебно-вспомогательного персонала (УВП)</w:t>
            </w:r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Секретарь учебной части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количестве классов (классов-комплектов):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4 до 16 - 0,5;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- 17 и более - 1</w:t>
            </w:r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Диспетчер образовательного учреждения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количестве классов 30 и более - 1</w:t>
            </w:r>
          </w:p>
        </w:tc>
      </w:tr>
      <w:tr>
        <w:tc>
          <w:tcPr>
            <w:gridSpan w:val="2"/>
            <w:tcW w:w="903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Должности педагогических работников</w:t>
            </w:r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должностей учителей определяется с учетом кадровой ситуации на основе тарификации в соответствии с учебно-методической документацией (федеральный учебный план, федеральный календарный учебный график, федеральные рабочие программы учебных предметов, курсов, дисциплин [модулей], иных компонентов)</w:t>
            </w:r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Педагог-библиотекарь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300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- 300 и более чел. - 1</w:t>
            </w:r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Педагог-организатор (старший вожатый)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80 до 299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- 300 и более чел. - 1</w:t>
            </w:r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100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100 до 749 чел. - 1;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750 до 1299 чел. - 1,5;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1300 до 1849 чел. - 2;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1850 до 2399 чел. - 2,5;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- 2400 и более чел. - 3</w:t>
            </w:r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педагог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200 чел. - 0,25;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200 до 349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- 350 и более чел. - 1</w:t>
            </w:r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должностей воспитателей для работы в группах продленного дня определяется в зависимости от количества групп, сформированных в соответствии с положениями </w:t>
            </w:r>
            <w:hyperlink w:history="0" r:id="rId34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      <w:r>
                <w:rPr>
                  <w:sz w:val="20"/>
                  <w:color w:val="0000ff"/>
                </w:rPr>
                <w:t xml:space="preserve">пункта 3.4.14</w:t>
              </w:r>
            </w:hyperlink>
            <w:r>
              <w:rPr>
                <w:sz w:val="20"/>
              </w:rPr>
              <w:t xml:space="preserve"> СП 2.4.3648-20, продолжительности их функционирования, а также нормы часов педагогической работы за ставку заработной платы, соответствующей 30 часам в неделю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Преподаватель-организатор основ безопасности и защиты Родины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 преподавателя-организатора основ безопасности и защиты Родины устанавливается с учетом осуществления им преподавательской работы по учебному предмету "Основы безопасности и защиты Родины" не менее 5 и не более 9 часов в неделю (360 в год).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случае если количество часов в учебном плане образовательной организации по учебному предмету "Основы безопасности и защиты Родины" составляет менее 5 часов в неделю (менее 180 часов в год), устанавливается 0,5 единицы должности преподавателя-организатора основ безопасности и защиты Родины.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Педагог-психолог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 педагога-психолога устанавливается из расчета одна должность на каждые 300 обучающихся.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количестве обучающихся менее 300 человек используется сетевая форма организации психолого-педагогической помощи, которая обеспечивается центром психолого-педагогической, медицинской и социальной помощи.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 с ограниченными возможностями здоровья (при наличии заключения психолого-медико-педагогической комиссии) 20 человек - 1.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 с расстройствами аутистического спектра (при наличии заключения психолого-медико-педагогической комиссии) 5 - 8 человек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Учитель-логопед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 с ограниченными возможностями здоровья (при наличии заключения психолого-медико-педагогической комиссии) 6 - 12 человек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Учитель-дефектолог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 с ограниченными возможностями здоровья (при наличии заключения психолого-медико-педагогической комиссии) 6 - 12 человек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Тьютор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 с ограниченными возможностями здоровья (при наличии заключения психолого-медико-педагогической комиссии) 1 - 6 человек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Мастер производственного обучения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образовательных организациях, в которых введено обучение обучающихся вождению транспортных средств, работе на сельскохозяйственных машинах, устанавливаются должности мастеров производственного обучения исходя из количества групп и количества часов, предусматриваемых учебным планом, программой профессионального обучения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Методист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(старший методист)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 методиста (старшего методиста) устанавливается из расчета одна должность на 10 учителей</w:t>
            </w:r>
          </w:p>
        </w:tc>
      </w:tr>
      <w:tr>
        <w:tc>
          <w:tcPr>
            <w:gridSpan w:val="2"/>
            <w:tcW w:w="903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Общеотраслевые должности служащих (ОДС) </w:t>
            </w:r>
            <w:hyperlink w:history="0" w:anchor="P205" w:tooltip="&lt;*&gt; Должности вводятся только при отсутствии договора с внешней организацией или индивидуальным предпринимателем на выполнение соответствующего функционал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3060" w:type="dxa"/>
          </w:tcPr>
          <w:p>
            <w:pPr>
              <w:pStyle w:val="0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240 до 299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300 до 499 чел. - 1;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450 до 599 чел. - 1,5;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600 до 799 чел. - 2;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800 до 999 чел. - 2,5;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- 1000 и более чел. - 3.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Одна должность бухгалтера полностью или частично может быть замещена должностью экономиста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Кассир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осуществлении в образовательной организации операций по приему, учету, выдаче и хранению денежных средств с обязательным соблюдением правил, обеспечивающих их сохранность, вводится должность кассира в зависимости от объема кассовых операций, но не более одной должности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Системный администратор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200 чел. - 0,25;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200 до 399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- 400 и более чел. - 1.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наличии двух и более зданий дополнительно устанавливается 0,25 ставки на каждое здание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Юрисконсульт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80 до 199 чел. - 0,25;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200 до 449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- 450 и более чел.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Специалист по кадрам (делопроизводитель)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200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200 до 449 чел. - 1;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450 до 599 чел. - 1,5;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- 600 и более чел. - 2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Специалист по закупкам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менее 80 чел. - 0,25;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80 до 299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- 300 и более чел.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240 до 339 чел.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- 340 и более чел. - 1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Лаборант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 лаборанта устанавливается при наличии оборудованных учебных кабинетов физики, химии и других из расчета 0,5 единицы должности на каждый учебный кабинет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Ассистент (помощник)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численности обучающихся с ограниченными возможностями здоровья (при наличии заключения психолого-медико-педагогической комиссии) 1 - 6 человек - 1</w:t>
            </w:r>
          </w:p>
        </w:tc>
      </w:tr>
      <w:tr>
        <w:tc>
          <w:tcPr>
            <w:gridSpan w:val="2"/>
            <w:tcW w:w="903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Общеотраслевые профессии рабочих (ОПР) </w:t>
            </w:r>
            <w:hyperlink w:history="0" w:anchor="P205" w:tooltip="&lt;*&gt; Должности вводятся только при отсутствии договора с внешней организацией или индивидуальным предпринимателем на выполнение соответствующего функционал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количестве классов (классов-комплектов):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1 до 11 - 0,5;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12 до 16 - 1;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 17 до 22 - 1,5;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- 23 и более - 2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Гардеробщик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наличии оборудованного гардероба на осенне-зимний период вводится должность гардеробщика из расчета 0,5 единицы должности на каждые 10 классов, но не менее 0,5 единицы должности на гардероб.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образовательных организациях, в которых проводятся занятия с обучающимися во вторую смену, а также занятия групп продленного дня, дополнительно устанавливаются должности гардеробщиков из расчета 0,5 единицы должности на гардероб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Уборщик служебных помещений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Должности уборщиков служебных помещений устанавливаются: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из расчета 0,5 единицы должности на каждые 250 кв. м убираемой площади, но не менее 0,5 единицы должности на организацию;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в организациях, в которых убираемая площадь используется повторно (при проведении учебных занятий в две смены, занятий групп продленного дня), дополнительно устанавливается 0,25 единицы должности на каждые 250 кв. м используемой площади повторно и 0,5 единицы должности на каждые 250 кв. м убираемой площади (при большем количестве смен, длительном нахождении обучающихся в группе продленного дня, а также при проведении иных занятий). При определении размера убираемой площади учитывается площадь пола классов, кабинетов, лабораторий, залов, мастерских, лестничных клеток, рекреаций и других помещений, требующих ежедневной уборки.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 учитывается площадь стен, дверей, подоконников, поверхность парт, столов, площадь чердачных и подвальных помещений (кроме случаев, когда в таких помещениях расположены гардероб, мастерские, а также эти помещения используются для других целей, требующих регулярной уборки)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Дворник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 дворника устанавливается в образовательной организации в соответствии с нормами убираемой площади, утвержденными органами местного самоуправления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Садовник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образовательной организации, имеющей фруктовый сад или земельный участок с декоративными насаждениями площадью не менее 1,5 га, может вводиться должность садовника на сезон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Сторож (старший сторож)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 численности сторожей определяется в зависимости от количества корпусов, постов в них из расчета одна единица в смену на один пост.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 старшего сторожа устанавливается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другими работниками в течение одной смены</w:t>
            </w:r>
          </w:p>
        </w:tc>
      </w:tr>
      <w:tr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Водитель автомобиля</w:t>
            </w:r>
          </w:p>
        </w:tc>
        <w:tc>
          <w:tcPr>
            <w:tcW w:w="59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наличии на балансе образовательной организации действующих транспортных средств (кроме транспортных средств, используемых в учебном процессе) вводится должность водителя автомобиля в зависимости от количества транспортных средств и порядка их эксплуатации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Должности вводятся только при отсутствии договора с внешней организацией или индивидуальным предпринимателем на выполнение соответствующего функционала.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общеобразовательной организации, осуществляющей образовательную деятельность по образовательным программам дошкольного образования, численность обучающихся для расчета количества штатных должностей принимается с учетом обучающихся в дошкольных группах.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классом-комплектом понимается объединение в один класс двух классов разных лет обучения начального образования в школе с низкой наполняемостью (малокомплектной школе) с соблюдением требований </w:t>
      </w:r>
      <w:hyperlink w:history="0" r:id="rId35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Соблюдение требований охраны труда, осуществления контроля за их выполнением обеспечивается в соответствии со </w:t>
      </w:r>
      <w:hyperlink w:history="0" r:id="rId36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ст. 223</w:t>
        </w:r>
      </w:hyperlink>
      <w:r>
        <w:rPr>
          <w:sz w:val="20"/>
        </w:rPr>
        <w:t xml:space="preserve"> ТК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Должности главного бухгалтера, бухгалтера устанавливаются в образовательной организации при самостоятельном ведении бухгалтерского учета и составлении бухгалтерской отчетности.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Дополнительные штатные нормативы численности работников</w:t>
      </w:r>
    </w:p>
    <w:p>
      <w:pPr>
        <w:pStyle w:val="2"/>
        <w:jc w:val="center"/>
      </w:pPr>
      <w:r>
        <w:rPr>
          <w:sz w:val="20"/>
        </w:rPr>
        <w:t xml:space="preserve">общеобразовательных организаций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обеспечения и организации горячего питания в штатном расписании образовательной организации предусматриваются должности заведующего производством (шеф-повара), повара, кухонного рабочего, кладовщика при условии приготовления пищи непосредственно в общеобразовательной организации. При наличии филиала, обособленного структурного подразделения, имеющего отдельный пищеблок, указанные должности предусматриваются с учетом работы данного пищеблока.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заключении договора с организацией, осуществляющей поставку готового питания, предусматривается должность "буфетчик" в количестве не менее одной единицы в смену на каждую столовую (если услуга раздачи не предоставляется поставщиком питания в рамках заключенного договора).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договора на организацию питания с внешней компанией должности, указанные выше, могут вводиться только в случае, если соответствующая услуга не предусмотрена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работников для обслуживания отопительных систем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наличии центрального отопления - одна должность машиниста (кочегара) в смену в каждой котельной, а в котельных, применяющих твердые виды топлива (торф, каменный уголь), с поверхностью нагрева котлов более 75 кв. м - две должности кочегара в смену в каждой котельной;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газовом отоплении - одна должность машиниста (кочегара) в смену, а в котельных, не имеющих автоматики безопасности, - две должности в смену;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централизованном теплоснабжении (ТЭЦ) в учреждениях, имеющих тепловой пункт или элеватор, - одна должность рабочего по обслуживанию и ремонту зданий, а при наличии бойлеров, насосов - одна должность такого рабочего в смену;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наличии печного отопления - 0,5 единицы должности истопника на каждые пять печей, но не менее одной должности на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кочегаров, истопников и рабочих по обслуживанию и текущему ремонту зданий, предусмотренные для обслуживания отопительных систем, устанавливаются на отопительный сезон. Из общего числа указанных должностей одна должность (0,5 единицы должности истопника) устанавливается на круглый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Общеобразовательная организация, имеющая в своей структуре интернат, предусмотренный для проживания обучающихся, обеспечивает введение в штат организации дополнительных должностей работников в зависимости от количества обучающихся, проживающих в интернате: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дополнительная должность заместителя директора по учебно-воспитательной (воспитательной) работе при проживании в интернате не менее 100 обучающихся. При меньшем количестве обучающихся руководство деятельностью интерната возлагается на одного из заместителей;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- 0,5 единицы должности заведующего хозяйством;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дополнительные должности работников кухни, уборщиков служебных помещений, кастелянши.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воспитателей предусматриваются из расчета на каждую группу обучающихся 25 - 30 человек с учетом продолжительности их пребывания в интернате, а также нормы 30 часов педагогической работы, установленной за ставку заработной платы воспитателей. Должности помощников воспитателей (младших воспитателей) устанавливаются на каждый спальный корпус. В интернате с числом проживающих более 100 обучающихся должности помощников воспитателей (младших воспитателей) устанавливаются из расчета две единицы на каждый этаж спального корпуса.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общеобразовательной организации, осуществляющей образовательную деятельность по образовательным программам дошкольного образования, для определения численности педагогического и учебно-вспомогательного персонала, а также персонала, занятого обслуживанием обучающихся дошкольного возраста, рекомендуется применять </w:t>
      </w:r>
      <w:hyperlink w:history="0" r:id="rId37" w:tooltip="Постановление Минтруда РФ от 21.04.1993 N 88 &quot;Об утверждении Нормативов по определению численности персонала, занятого обслуживанием дошкольных учреждений (ясли, ясли-сады, детские сады)&quot; {КонсультантПлюс}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 определению численности персонала, занятого обслуживанием дошкольных учреждений, утвержденные постановлением Минтруда России N 88, с учетом положений, предусмотренных в приложении 3, определяющих примерные штатные нормативы численности работников дошкольных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обучающихся с ограниченными возможностями здоровья следует руководствоваться </w:t>
      </w:r>
      <w:hyperlink w:history="0" r:id="rId38" w:tooltip="Приказ Минпросвещения России от 31.07.2020 N 373 (ред. от 25.10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31.08.2020 N 59599) {КонсультантПлюс}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Минпросвещения России N 373.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осуществлении образовательной деятельности по дополнительным общеобразовательным программам следует руководствоваться </w:t>
      </w:r>
      <w:hyperlink w:history="0" r:id="rId39" w:tooltip="Приказ Минпросвещения России от 27.07.2022 N 629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6.09.2022 N 70226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 N 629.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педагогических и иных работников устанавливаются с учетом количества групп обучающихся, их возрастных категорий, направленности дополнительных общеобразовательных программ (технической, естественно-научной, физкультурно-спортивной, художественной, туристско-краеведческой, социально-гуманитарной).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23.06.2025 N ОК-1835/08</w:t>
            <w:br/>
            <w:t>"О примерных штатных нормативах"</w:t>
            <w:br/>
            <w:t>(вместе с "Общими положениями...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86345" TargetMode = "External"/>
	<Relationship Id="rId8" Type="http://schemas.openxmlformats.org/officeDocument/2006/relationships/hyperlink" Target="https://login.consultant.ru/link/?req=doc&amp;base=RZR&amp;n=500246" TargetMode = "External"/>
	<Relationship Id="rId9" Type="http://schemas.openxmlformats.org/officeDocument/2006/relationships/hyperlink" Target="https://login.consultant.ru/link/?req=doc&amp;base=RZR&amp;n=505886&amp;dst=100385" TargetMode = "External"/>
	<Relationship Id="rId10" Type="http://schemas.openxmlformats.org/officeDocument/2006/relationships/hyperlink" Target="https://login.consultant.ru/link/?req=doc&amp;base=RZR&amp;n=505886" TargetMode = "External"/>
	<Relationship Id="rId11" Type="http://schemas.openxmlformats.org/officeDocument/2006/relationships/hyperlink" Target="https://login.consultant.ru/link/?req=doc&amp;base=RZR&amp;n=502632&amp;dst=345" TargetMode = "External"/>
	<Relationship Id="rId12" Type="http://schemas.openxmlformats.org/officeDocument/2006/relationships/hyperlink" Target="https://login.consultant.ru/link/?req=doc&amp;base=RZR&amp;n=502632" TargetMode = "External"/>
	<Relationship Id="rId13" Type="http://schemas.openxmlformats.org/officeDocument/2006/relationships/hyperlink" Target="https://login.consultant.ru/link/?req=doc&amp;base=RZR&amp;n=480743&amp;dst=100009" TargetMode = "External"/>
	<Relationship Id="rId14" Type="http://schemas.openxmlformats.org/officeDocument/2006/relationships/hyperlink" Target="https://login.consultant.ru/link/?req=doc&amp;base=RZR&amp;n=116278" TargetMode = "External"/>
	<Relationship Id="rId15" Type="http://schemas.openxmlformats.org/officeDocument/2006/relationships/hyperlink" Target="https://login.consultant.ru/link/?req=doc&amp;base=RZR&amp;n=155090" TargetMode = "External"/>
	<Relationship Id="rId16" Type="http://schemas.openxmlformats.org/officeDocument/2006/relationships/hyperlink" Target="https://login.consultant.ru/link/?req=doc&amp;base=RZR&amp;n=502785" TargetMode = "External"/>
	<Relationship Id="rId17" Type="http://schemas.openxmlformats.org/officeDocument/2006/relationships/hyperlink" Target="https://login.consultant.ru/link/?req=doc&amp;base=RZR&amp;n=462845" TargetMode = "External"/>
	<Relationship Id="rId18" Type="http://schemas.openxmlformats.org/officeDocument/2006/relationships/hyperlink" Target="https://login.consultant.ru/link/?req=doc&amp;base=RZR&amp;n=436600" TargetMode = "External"/>
	<Relationship Id="rId19" Type="http://schemas.openxmlformats.org/officeDocument/2006/relationships/hyperlink" Target="https://login.consultant.ru/link/?req=doc&amp;base=RZR&amp;n=427531" TargetMode = "External"/>
	<Relationship Id="rId20" Type="http://schemas.openxmlformats.org/officeDocument/2006/relationships/hyperlink" Target="https://login.consultant.ru/link/?req=doc&amp;base=RZR&amp;n=491063" TargetMode = "External"/>
	<Relationship Id="rId21" Type="http://schemas.openxmlformats.org/officeDocument/2006/relationships/hyperlink" Target="https://login.consultant.ru/link/?req=doc&amp;base=RZR&amp;n=429349" TargetMode = "External"/>
	<Relationship Id="rId22" Type="http://schemas.openxmlformats.org/officeDocument/2006/relationships/hyperlink" Target="https://login.consultant.ru/link/?req=doc&amp;base=RZR&amp;n=504817" TargetMode = "External"/>
	<Relationship Id="rId23" Type="http://schemas.openxmlformats.org/officeDocument/2006/relationships/hyperlink" Target="https://login.consultant.ru/link/?req=doc&amp;base=RZR&amp;n=505026" TargetMode = "External"/>
	<Relationship Id="rId24" Type="http://schemas.openxmlformats.org/officeDocument/2006/relationships/hyperlink" Target="https://login.consultant.ru/link/?req=doc&amp;base=RZR&amp;n=98656" TargetMode = "External"/>
	<Relationship Id="rId25" Type="http://schemas.openxmlformats.org/officeDocument/2006/relationships/hyperlink" Target="https://login.consultant.ru/link/?req=doc&amp;base=RZR&amp;n=486034" TargetMode = "External"/>
	<Relationship Id="rId26" Type="http://schemas.openxmlformats.org/officeDocument/2006/relationships/hyperlink" Target="https://login.consultant.ru/link/?req=doc&amp;base=RZR&amp;n=214720" TargetMode = "External"/>
	<Relationship Id="rId27" Type="http://schemas.openxmlformats.org/officeDocument/2006/relationships/hyperlink" Target="https://login.consultant.ru/link/?req=doc&amp;base=RZR&amp;n=495816&amp;dst=100161" TargetMode = "External"/>
	<Relationship Id="rId28" Type="http://schemas.openxmlformats.org/officeDocument/2006/relationships/hyperlink" Target="https://login.consultant.ru/link/?req=doc&amp;base=RZR&amp;n=382199" TargetMode = "External"/>
	<Relationship Id="rId29" Type="http://schemas.openxmlformats.org/officeDocument/2006/relationships/hyperlink" Target="https://login.consultant.ru/link/?req=doc&amp;base=RZR&amp;n=368777&amp;dst=100007" TargetMode = "External"/>
	<Relationship Id="rId30" Type="http://schemas.openxmlformats.org/officeDocument/2006/relationships/hyperlink" Target="https://login.consultant.ru/link/?req=doc&amp;base=RZR&amp;n=460354" TargetMode = "External"/>
	<Relationship Id="rId31" Type="http://schemas.openxmlformats.org/officeDocument/2006/relationships/hyperlink" Target="https://login.consultant.ru/link/?req=doc&amp;base=RZR&amp;n=411674&amp;dst=100010" TargetMode = "External"/>
	<Relationship Id="rId32" Type="http://schemas.openxmlformats.org/officeDocument/2006/relationships/hyperlink" Target="https://login.consultant.ru/link/?req=doc&amp;base=RZR&amp;n=490344" TargetMode = "External"/>
	<Relationship Id="rId33" Type="http://schemas.openxmlformats.org/officeDocument/2006/relationships/hyperlink" Target="https://login.consultant.ru/link/?req=doc&amp;base=EXP&amp;n=579778" TargetMode = "External"/>
	<Relationship Id="rId34" Type="http://schemas.openxmlformats.org/officeDocument/2006/relationships/hyperlink" Target="https://login.consultant.ru/link/?req=doc&amp;base=RZR&amp;n=486034&amp;dst=100452" TargetMode = "External"/>
	<Relationship Id="rId35" Type="http://schemas.openxmlformats.org/officeDocument/2006/relationships/hyperlink" Target="https://login.consultant.ru/link/?req=doc&amp;base=RZR&amp;n=486034&amp;dst=100047" TargetMode = "External"/>
	<Relationship Id="rId36" Type="http://schemas.openxmlformats.org/officeDocument/2006/relationships/hyperlink" Target="https://login.consultant.ru/link/?req=doc&amp;base=RZR&amp;n=502632&amp;dst=2775" TargetMode = "External"/>
	<Relationship Id="rId37" Type="http://schemas.openxmlformats.org/officeDocument/2006/relationships/hyperlink" Target="https://login.consultant.ru/link/?req=doc&amp;base=RZR&amp;n=98656&amp;dst=100011" TargetMode = "External"/>
	<Relationship Id="rId38" Type="http://schemas.openxmlformats.org/officeDocument/2006/relationships/hyperlink" Target="https://login.consultant.ru/link/?req=doc&amp;base=RZR&amp;n=462845&amp;dst=100062" TargetMode = "External"/>
	<Relationship Id="rId39" Type="http://schemas.openxmlformats.org/officeDocument/2006/relationships/hyperlink" Target="https://login.consultant.ru/link/?req=doc&amp;base=RZR&amp;n=427531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23.06.2025 N ОК-1835/08
"О примерных штатных нормативах"
(вместе с "Общими положениями", "Примерными штатными нормативами численности работников общеобразовательных организаций")</dc:title>
  <dcterms:created xsi:type="dcterms:W3CDTF">2025-07-21T10:43:47Z</dcterms:created>
</cp:coreProperties>
</file>