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F3" w:rsidRDefault="00D828F3">
      <w:pPr>
        <w:pStyle w:val="ConsPlusNormal"/>
        <w:jc w:val="both"/>
        <w:outlineLvl w:val="0"/>
      </w:pPr>
    </w:p>
    <w:p w:rsidR="00D828F3" w:rsidRDefault="00D828F3">
      <w:pPr>
        <w:pStyle w:val="ConsPlusNormal"/>
        <w:outlineLvl w:val="0"/>
      </w:pPr>
      <w:r>
        <w:t>Зарегистрировано в Минюсте России 7 апреля 2025 г. N 81759</w:t>
      </w:r>
    </w:p>
    <w:p w:rsidR="00D828F3" w:rsidRDefault="00D828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8F3" w:rsidRDefault="00D828F3">
      <w:pPr>
        <w:pStyle w:val="ConsPlusNormal"/>
      </w:pPr>
    </w:p>
    <w:p w:rsidR="00D828F3" w:rsidRDefault="00D828F3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D828F3" w:rsidRDefault="00D828F3">
      <w:pPr>
        <w:pStyle w:val="ConsPlusTitle"/>
        <w:jc w:val="center"/>
      </w:pPr>
    </w:p>
    <w:p w:rsidR="00D828F3" w:rsidRDefault="00D828F3">
      <w:pPr>
        <w:pStyle w:val="ConsPlusTitle"/>
        <w:jc w:val="center"/>
      </w:pPr>
      <w:r>
        <w:t>ПРИКАЗ</w:t>
      </w:r>
    </w:p>
    <w:p w:rsidR="00D828F3" w:rsidRDefault="00D828F3">
      <w:pPr>
        <w:pStyle w:val="ConsPlusTitle"/>
        <w:jc w:val="center"/>
      </w:pPr>
      <w:r>
        <w:t>от 9 января 2025 г. N 1</w:t>
      </w:r>
    </w:p>
    <w:p w:rsidR="00D828F3" w:rsidRDefault="00D828F3">
      <w:pPr>
        <w:pStyle w:val="ConsPlusTitle"/>
        <w:jc w:val="center"/>
      </w:pPr>
    </w:p>
    <w:p w:rsidR="00D828F3" w:rsidRDefault="00D828F3">
      <w:pPr>
        <w:pStyle w:val="ConsPlusTitle"/>
        <w:jc w:val="center"/>
      </w:pPr>
      <w:r>
        <w:t>ОБ УТВЕРЖДЕНИИ ФОРМ ПРОВЕРОЧНЫХ ЛИСТОВ,</w:t>
      </w:r>
    </w:p>
    <w:p w:rsidR="00D828F3" w:rsidRDefault="00D828F3">
      <w:pPr>
        <w:pStyle w:val="ConsPlusTitle"/>
        <w:jc w:val="center"/>
      </w:pPr>
      <w:r>
        <w:t>ИСПОЛЬЗУЕМЫХ ОРГАНАМИ ИСПОЛНИТЕЛЬНОЙ ВЛАСТИ СУБЪЕКТОВ</w:t>
      </w:r>
    </w:p>
    <w:p w:rsidR="00D828F3" w:rsidRDefault="00D828F3">
      <w:pPr>
        <w:pStyle w:val="ConsPlusTitle"/>
        <w:jc w:val="center"/>
      </w:pPr>
      <w:r>
        <w:t xml:space="preserve">РОССИЙСКОЙ ФЕДЕРАЦИИ, </w:t>
      </w:r>
      <w:proofErr w:type="gramStart"/>
      <w:r>
        <w:t>ОСУЩЕСТВЛЯЮЩИМИ</w:t>
      </w:r>
      <w:proofErr w:type="gramEnd"/>
      <w:r>
        <w:t xml:space="preserve"> ПЕРЕДАННЫЕ РОССИЙСКОЙ</w:t>
      </w:r>
    </w:p>
    <w:p w:rsidR="00D828F3" w:rsidRDefault="00D828F3">
      <w:pPr>
        <w:pStyle w:val="ConsPlusTitle"/>
        <w:jc w:val="center"/>
      </w:pPr>
      <w:r>
        <w:t>ФЕДЕРАЦИЕЙ ПОЛНОМОЧИЯ В СФЕРЕ ОБРАЗОВАНИЯ, ПРИ ОСУЩЕСТВЛЕНИИ</w:t>
      </w:r>
    </w:p>
    <w:p w:rsidR="00D828F3" w:rsidRDefault="00D828F3">
      <w:pPr>
        <w:pStyle w:val="ConsPlusTitle"/>
        <w:jc w:val="center"/>
      </w:pPr>
      <w:r>
        <w:t>ФЕДЕРАЛЬНОГО ГОСУДАРСТВЕННОГО КОНТРОЛЯ (НАДЗОРА)</w:t>
      </w:r>
    </w:p>
    <w:p w:rsidR="00D828F3" w:rsidRDefault="00D828F3">
      <w:pPr>
        <w:pStyle w:val="ConsPlusTitle"/>
        <w:jc w:val="center"/>
      </w:pPr>
      <w:r>
        <w:t>В СФЕРЕ ОБРАЗОВАНИЯ</w:t>
      </w:r>
    </w:p>
    <w:p w:rsidR="00D828F3" w:rsidRDefault="00D82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2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8F3" w:rsidRDefault="00D82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8F3" w:rsidRDefault="00D82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8F3" w:rsidRDefault="00D82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28F3" w:rsidRDefault="00D828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w:anchor="P4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09.01.2025 N 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8F3" w:rsidRDefault="00D828F3">
            <w:pPr>
              <w:pStyle w:val="ConsPlusNormal"/>
            </w:pPr>
          </w:p>
        </w:tc>
      </w:tr>
    </w:tbl>
    <w:p w:rsidR="00D828F3" w:rsidRDefault="00D828F3">
      <w:pPr>
        <w:pStyle w:val="ConsPlusNormal"/>
        <w:jc w:val="center"/>
      </w:pPr>
    </w:p>
    <w:p w:rsidR="00D828F3" w:rsidRDefault="00D828F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пунктом 2</w:t>
        </w:r>
      </w:hyperlink>
      <w:r>
        <w:t xml:space="preserve"> Положения о федеральном государственном контроле (надзоре) в сфере образования, утвержденного постановлением Правительства Российской Федерации от 25 июня 2021 г. N 997, </w:t>
      </w:r>
      <w:hyperlink r:id="rId7">
        <w:r>
          <w:rPr>
            <w:color w:val="0000FF"/>
          </w:rPr>
          <w:t>пунктом 3</w:t>
        </w:r>
      </w:hyperlink>
      <w:r>
        <w:t xml:space="preserve"> Требований к разработке, содержанию, общественному обсуждению проектов форм проверочных</w:t>
      </w:r>
      <w:proofErr w:type="gramEnd"/>
      <w:r>
        <w:t xml:space="preserve"> </w:t>
      </w:r>
      <w:proofErr w:type="gramStart"/>
      <w:r>
        <w:t xml:space="preserve">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N 1844, </w:t>
      </w:r>
      <w:hyperlink r:id="rId8">
        <w:r>
          <w:rPr>
            <w:color w:val="0000FF"/>
          </w:rPr>
          <w:t>подпунктом 5.2.17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r:id="rId9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приема на обучение по образовательным программам среднего профессионального образования, согласно приложению N 1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r:id="rId10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приема на обучение по образовательным программам начального общего, основного общего и среднего общего образования, согласно приложению N 2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Утвердить </w:t>
      </w:r>
      <w:hyperlink r:id="rId11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приема на обучение по образовательным программам дошкольного образования, согласно приложению N 3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Утвердить </w:t>
      </w:r>
      <w:hyperlink r:id="rId12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приема на обучение по дополнительным </w:t>
      </w:r>
      <w:r>
        <w:lastRenderedPageBreak/>
        <w:t>образовательным программам спортивной подготовки, согласно приложению N 4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Утвердить </w:t>
      </w:r>
      <w:hyperlink r:id="rId13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приема на обучение по дополнительным предпрофессиональным программам в области искусств, согласно приложению N 5 к настоящему приказу.</w:t>
      </w:r>
      <w:proofErr w:type="gramEnd"/>
    </w:p>
    <w:p w:rsidR="00D828F3" w:rsidRDefault="00D828F3">
      <w:pPr>
        <w:pStyle w:val="ConsPlusNormal"/>
        <w:jc w:val="both"/>
      </w:pPr>
      <w:r>
        <w:t>(</w:t>
      </w:r>
      <w:proofErr w:type="gramStart"/>
      <w:r>
        <w:t>ф</w:t>
      </w:r>
      <w:proofErr w:type="gramEnd"/>
      <w:r>
        <w:t xml:space="preserve">орма утратила силу с 1 сентября 2025 года. - </w:t>
      </w:r>
      <w:hyperlink w:anchor="P46">
        <w:proofErr w:type="gramStart"/>
        <w:r>
          <w:rPr>
            <w:color w:val="0000FF"/>
          </w:rPr>
          <w:t>Пункт 26</w:t>
        </w:r>
      </w:hyperlink>
      <w:r>
        <w:t xml:space="preserve"> данного Приказа)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Утвердить </w:t>
      </w:r>
      <w:hyperlink r:id="rId14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правил оказания платных образовательных услуг, согласно приложению N 6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Утвердить </w:t>
      </w:r>
      <w:hyperlink r:id="rId15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лицензионного контроля за образовательной деятельностью, согласно приложению N 7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Утвердить </w:t>
      </w:r>
      <w:hyperlink r:id="rId16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организации и осуществления образовательной деятельности по дополнительным общеобразовательным программам, согласно приложению N 8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Утвердить </w:t>
      </w:r>
      <w:hyperlink r:id="rId17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организации и осуществления образовательной деятельности по образовательным программам среднего профессионального образования, согласно приложению N 9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Утвердить </w:t>
      </w:r>
      <w:hyperlink r:id="rId18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согласно приложению N 10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Утвердить </w:t>
      </w:r>
      <w:hyperlink r:id="rId19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согласно приложению N 11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Утвердить </w:t>
      </w:r>
      <w:hyperlink r:id="rId20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</w:t>
      </w:r>
      <w:r>
        <w:lastRenderedPageBreak/>
        <w:t>(надзора) в сфере образования в части порядка организации и осуществления образовательной деятельности по основным программам профессионального обучения, согласно приложению N 12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Утвердить </w:t>
      </w:r>
      <w:hyperlink r:id="rId21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организации и осуществления образовательной деятельности по дополнительным профессиональным программам, согласно приложению N 13 к настоящему приказу.</w:t>
      </w:r>
      <w:proofErr w:type="gramEnd"/>
    </w:p>
    <w:p w:rsidR="00D828F3" w:rsidRDefault="00D828F3">
      <w:pPr>
        <w:pStyle w:val="ConsPlusNormal"/>
        <w:jc w:val="both"/>
      </w:pPr>
      <w:r>
        <w:t>(</w:t>
      </w:r>
      <w:proofErr w:type="gramStart"/>
      <w:r>
        <w:t>ф</w:t>
      </w:r>
      <w:proofErr w:type="gramEnd"/>
      <w:r>
        <w:t xml:space="preserve">орма утратила силу с 1 сентября 2025 года. - </w:t>
      </w:r>
      <w:hyperlink w:anchor="P50">
        <w:proofErr w:type="gramStart"/>
        <w:r>
          <w:rPr>
            <w:color w:val="0000FF"/>
          </w:rPr>
          <w:t>Пункт 30</w:t>
        </w:r>
      </w:hyperlink>
      <w:r>
        <w:t xml:space="preserve"> данного Приказа)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Утвердить </w:t>
      </w:r>
      <w:hyperlink r:id="rId22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информационной открытости образовательной организации, согласно приложению N 14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Утвердить </w:t>
      </w:r>
      <w:hyperlink r:id="rId23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заполнения, учета и выдачи дипломов о среднем профессиональном образовании и их дубликатов, согласно приложению N 15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Утвердить </w:t>
      </w:r>
      <w:hyperlink r:id="rId24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заполнения, учета и выдачи аттестатов об основном общем и среднем общем образовании и их дубликатов, согласно приложению N 16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Утвердить </w:t>
      </w:r>
      <w:hyperlink r:id="rId25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согласно приложению N 17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Утвердить </w:t>
      </w:r>
      <w:hyperlink r:id="rId26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проведения государственной итоговой аттестации по образовательным программам основного общего образования, согласно приложению N 18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Утвердить </w:t>
      </w:r>
      <w:hyperlink r:id="rId27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 в части порядка проведения государственной итоговой аттестации по образовательным программам среднего общего образования, согласно приложению N 19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Утвердить </w:t>
      </w:r>
      <w:hyperlink r:id="rId28">
        <w:r>
          <w:rPr>
            <w:color w:val="0000FF"/>
          </w:rPr>
          <w:t>форму</w:t>
        </w:r>
      </w:hyperlink>
      <w:r>
        <w:t xml:space="preserve"> проверочного листа, используемого органами исполнительной власти субъектов Российской Федерации, осуществляющими переданные Российской Федерацией </w:t>
      </w:r>
      <w:r>
        <w:lastRenderedPageBreak/>
        <w:t>полномочия в сфере образования, при осуществлении федерального государственного контроля (надзора) в сфере образования в части порядка проведения государственной итоговой аттестации по образовательным программам среднего профессионального образования, согласно приложению N 20 к настоящему приказу.</w:t>
      </w:r>
      <w:proofErr w:type="gramEnd"/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Признать утратившим силу </w:t>
      </w:r>
      <w:hyperlink r:id="rId29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8 июля 2022 г. N 769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(зарегистрирован Министерством юстиции Российской Федерации 3 октября 2022 г., регистрационный N</w:t>
      </w:r>
      <w:proofErr w:type="gramEnd"/>
      <w:r>
        <w:t xml:space="preserve"> 70346).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22. Настоящий приказ действует до 1 марта 2028 года, за исключением </w:t>
      </w:r>
      <w:hyperlink w:anchor="P43">
        <w:r>
          <w:rPr>
            <w:color w:val="0000FF"/>
          </w:rPr>
          <w:t>пунктов 23</w:t>
        </w:r>
      </w:hyperlink>
      <w:r>
        <w:t xml:space="preserve"> - </w:t>
      </w:r>
      <w:hyperlink w:anchor="P51">
        <w:r>
          <w:rPr>
            <w:color w:val="0000FF"/>
          </w:rPr>
          <w:t>31</w:t>
        </w:r>
      </w:hyperlink>
      <w:r>
        <w:t xml:space="preserve"> настоящего приказа.</w:t>
      </w:r>
    </w:p>
    <w:p w:rsidR="00D828F3" w:rsidRDefault="00D828F3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23. </w:t>
      </w:r>
      <w:hyperlink r:id="rId30">
        <w:r>
          <w:rPr>
            <w:color w:val="0000FF"/>
          </w:rPr>
          <w:t>Приложение N 1</w:t>
        </w:r>
      </w:hyperlink>
      <w:r>
        <w:t xml:space="preserve"> к настоящему приказу действует до 1 января 2027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24. </w:t>
      </w:r>
      <w:hyperlink r:id="rId31">
        <w:r>
          <w:rPr>
            <w:color w:val="0000FF"/>
          </w:rPr>
          <w:t>Приложение N 2</w:t>
        </w:r>
      </w:hyperlink>
      <w:r>
        <w:t xml:space="preserve"> к настоящему приказу действует до 1 марта 2026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25. </w:t>
      </w:r>
      <w:hyperlink r:id="rId32">
        <w:r>
          <w:rPr>
            <w:color w:val="0000FF"/>
          </w:rPr>
          <w:t>Приложение N 3</w:t>
        </w:r>
      </w:hyperlink>
      <w:r>
        <w:t xml:space="preserve"> к настоящему приказу действует до 28 июня 2026 года.</w:t>
      </w:r>
    </w:p>
    <w:p w:rsidR="00D828F3" w:rsidRDefault="00D828F3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26. </w:t>
      </w:r>
      <w:hyperlink r:id="rId33">
        <w:r>
          <w:rPr>
            <w:color w:val="0000FF"/>
          </w:rPr>
          <w:t>Приложение N 5</w:t>
        </w:r>
      </w:hyperlink>
      <w:r>
        <w:t xml:space="preserve"> к настоящему приказу действует до 1 сентября 2025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27. </w:t>
      </w:r>
      <w:hyperlink r:id="rId34">
        <w:r>
          <w:rPr>
            <w:color w:val="0000FF"/>
          </w:rPr>
          <w:t>Приложение N 6</w:t>
        </w:r>
      </w:hyperlink>
      <w:r>
        <w:t xml:space="preserve"> к настоящему приказу действует до 31 декабря 2026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28. </w:t>
      </w:r>
      <w:hyperlink r:id="rId35">
        <w:r>
          <w:rPr>
            <w:color w:val="0000FF"/>
          </w:rPr>
          <w:t>Приложение N 7</w:t>
        </w:r>
      </w:hyperlink>
      <w:r>
        <w:t xml:space="preserve"> к настоящему приказу и </w:t>
      </w:r>
      <w:hyperlink r:id="rId36">
        <w:r>
          <w:rPr>
            <w:color w:val="0000FF"/>
          </w:rPr>
          <w:t>приложение N 11</w:t>
        </w:r>
      </w:hyperlink>
      <w:r>
        <w:t xml:space="preserve"> к настоящему приказу действуют до 1 сентября 2026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 xml:space="preserve">29. </w:t>
      </w:r>
      <w:hyperlink r:id="rId37">
        <w:r>
          <w:rPr>
            <w:color w:val="0000FF"/>
          </w:rPr>
          <w:t>Приложение N 10</w:t>
        </w:r>
      </w:hyperlink>
      <w:r>
        <w:t xml:space="preserve"> к настоящему приказу действует до 1 сентября 2027 года.</w:t>
      </w:r>
    </w:p>
    <w:p w:rsidR="00D828F3" w:rsidRDefault="00D828F3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30. </w:t>
      </w:r>
      <w:hyperlink r:id="rId38">
        <w:r>
          <w:rPr>
            <w:color w:val="0000FF"/>
          </w:rPr>
          <w:t>Приложение N 13</w:t>
        </w:r>
      </w:hyperlink>
      <w:r>
        <w:t xml:space="preserve"> к настоящему приказу действует до 1 сентября 2025 года.</w:t>
      </w:r>
    </w:p>
    <w:p w:rsidR="00D828F3" w:rsidRDefault="00D828F3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31. </w:t>
      </w:r>
      <w:hyperlink r:id="rId39">
        <w:r>
          <w:rPr>
            <w:color w:val="0000FF"/>
          </w:rPr>
          <w:t>Приложение N 16</w:t>
        </w:r>
      </w:hyperlink>
      <w:r>
        <w:t xml:space="preserve"> к настоящему приказу действует до 1 января 2027 года.</w:t>
      </w:r>
    </w:p>
    <w:p w:rsidR="00D828F3" w:rsidRDefault="00D828F3">
      <w:pPr>
        <w:pStyle w:val="ConsPlusNormal"/>
        <w:spacing w:before="220"/>
        <w:ind w:firstLine="540"/>
        <w:jc w:val="both"/>
      </w:pPr>
      <w:r>
        <w:t>32. Установить, что перечень обязательных требований, оценка соблюдения которых осуществляется в рамках проведения плановых выездных проверок, может не ограничиваться списками контрольных вопросов, содержащихся в формах проверочных листов, утвержденных настоящим приказом.</w:t>
      </w:r>
    </w:p>
    <w:p w:rsidR="00D828F3" w:rsidRDefault="00D828F3">
      <w:pPr>
        <w:pStyle w:val="ConsPlusNormal"/>
        <w:ind w:firstLine="540"/>
        <w:jc w:val="both"/>
      </w:pPr>
    </w:p>
    <w:p w:rsidR="00D828F3" w:rsidRDefault="00D828F3">
      <w:pPr>
        <w:pStyle w:val="ConsPlusNormal"/>
        <w:jc w:val="right"/>
      </w:pPr>
      <w:r>
        <w:t>Руководитель</w:t>
      </w:r>
    </w:p>
    <w:p w:rsidR="00D828F3" w:rsidRDefault="00D828F3">
      <w:pPr>
        <w:pStyle w:val="ConsPlusNormal"/>
        <w:jc w:val="right"/>
      </w:pPr>
      <w:r>
        <w:t>А.А.МУЗАЕВ</w:t>
      </w:r>
    </w:p>
    <w:p w:rsidR="00D828F3" w:rsidRDefault="00D828F3">
      <w:pPr>
        <w:pStyle w:val="ConsPlusNormal"/>
      </w:pPr>
      <w:hyperlink r:id="rId40">
        <w:r>
          <w:rPr>
            <w:i/>
            <w:color w:val="0000FF"/>
          </w:rPr>
          <w:br/>
          <w:t xml:space="preserve">Приказ </w:t>
        </w:r>
        <w:proofErr w:type="spellStart"/>
        <w:r>
          <w:rPr>
            <w:i/>
            <w:color w:val="0000FF"/>
          </w:rPr>
          <w:t>Рособрнадзора</w:t>
        </w:r>
        <w:proofErr w:type="spellEnd"/>
        <w:r>
          <w:rPr>
            <w:i/>
            <w:color w:val="0000FF"/>
          </w:rPr>
  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B34D11" w:rsidRDefault="00B34D11">
      <w:bookmarkStart w:id="4" w:name="_GoBack"/>
      <w:bookmarkEnd w:id="4"/>
    </w:p>
    <w:sectPr w:rsidR="00B34D11" w:rsidSect="0086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3"/>
    <w:rsid w:val="006E4932"/>
    <w:rsid w:val="00B34D11"/>
    <w:rsid w:val="00D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04649&amp;dst=100571" TargetMode="External"/><Relationship Id="rId18" Type="http://schemas.openxmlformats.org/officeDocument/2006/relationships/hyperlink" Target="https://login.consultant.ru/link/?req=doc&amp;base=RZR&amp;n=504649&amp;dst=101130" TargetMode="External"/><Relationship Id="rId26" Type="http://schemas.openxmlformats.org/officeDocument/2006/relationships/hyperlink" Target="https://login.consultant.ru/link/?req=doc&amp;base=RZR&amp;n=504649&amp;dst=102110" TargetMode="External"/><Relationship Id="rId39" Type="http://schemas.openxmlformats.org/officeDocument/2006/relationships/hyperlink" Target="https://login.consultant.ru/link/?req=doc&amp;base=RZR&amp;n=504649&amp;dst=101803" TargetMode="External"/><Relationship Id="rId21" Type="http://schemas.openxmlformats.org/officeDocument/2006/relationships/hyperlink" Target="https://login.consultant.ru/link/?req=doc&amp;base=RZR&amp;n=504649&amp;dst=101377" TargetMode="External"/><Relationship Id="rId34" Type="http://schemas.openxmlformats.org/officeDocument/2006/relationships/hyperlink" Target="https://login.consultant.ru/link/?req=doc&amp;base=RZR&amp;n=504649&amp;dst=10067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16592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4649&amp;dst=100804" TargetMode="External"/><Relationship Id="rId20" Type="http://schemas.openxmlformats.org/officeDocument/2006/relationships/hyperlink" Target="https://login.consultant.ru/link/?req=doc&amp;base=RZR&amp;n=504649&amp;dst=101284" TargetMode="External"/><Relationship Id="rId29" Type="http://schemas.openxmlformats.org/officeDocument/2006/relationships/hyperlink" Target="https://login.consultant.ru/link/?req=doc&amp;base=RZR&amp;n=42805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746&amp;dst=100012" TargetMode="External"/><Relationship Id="rId11" Type="http://schemas.openxmlformats.org/officeDocument/2006/relationships/hyperlink" Target="https://login.consultant.ru/link/?req=doc&amp;base=RZR&amp;n=504649&amp;dst=100392" TargetMode="External"/><Relationship Id="rId24" Type="http://schemas.openxmlformats.org/officeDocument/2006/relationships/hyperlink" Target="https://login.consultant.ru/link/?req=doc&amp;base=RZR&amp;n=504649&amp;dst=101803" TargetMode="External"/><Relationship Id="rId32" Type="http://schemas.openxmlformats.org/officeDocument/2006/relationships/hyperlink" Target="https://login.consultant.ru/link/?req=doc&amp;base=RZR&amp;n=504649&amp;dst=100392" TargetMode="External"/><Relationship Id="rId37" Type="http://schemas.openxmlformats.org/officeDocument/2006/relationships/hyperlink" Target="https://login.consultant.ru/link/?req=doc&amp;base=RZR&amp;n=504649&amp;dst=101130" TargetMode="External"/><Relationship Id="rId40" Type="http://schemas.openxmlformats.org/officeDocument/2006/relationships/hyperlink" Target="https://login.consultant.ru/link/?req=doc&amp;base=RZR&amp;n=504649&amp;dst=1000000001" TargetMode="External"/><Relationship Id="rId5" Type="http://schemas.openxmlformats.org/officeDocument/2006/relationships/hyperlink" Target="https://login.consultant.ru/link/?req=doc&amp;base=RZR&amp;n=499669&amp;dst=100583" TargetMode="External"/><Relationship Id="rId15" Type="http://schemas.openxmlformats.org/officeDocument/2006/relationships/hyperlink" Target="https://login.consultant.ru/link/?req=doc&amp;base=RZR&amp;n=504649&amp;dst=100735" TargetMode="External"/><Relationship Id="rId23" Type="http://schemas.openxmlformats.org/officeDocument/2006/relationships/hyperlink" Target="https://login.consultant.ru/link/?req=doc&amp;base=RZR&amp;n=504649&amp;dst=101661" TargetMode="External"/><Relationship Id="rId28" Type="http://schemas.openxmlformats.org/officeDocument/2006/relationships/hyperlink" Target="https://login.consultant.ru/link/?req=doc&amp;base=RZR&amp;n=504649&amp;dst=102284" TargetMode="External"/><Relationship Id="rId36" Type="http://schemas.openxmlformats.org/officeDocument/2006/relationships/hyperlink" Target="https://login.consultant.ru/link/?req=doc&amp;base=RZR&amp;n=504649&amp;dst=101215" TargetMode="External"/><Relationship Id="rId10" Type="http://schemas.openxmlformats.org/officeDocument/2006/relationships/hyperlink" Target="https://login.consultant.ru/link/?req=doc&amp;base=RZR&amp;n=504649&amp;dst=100236" TargetMode="External"/><Relationship Id="rId19" Type="http://schemas.openxmlformats.org/officeDocument/2006/relationships/hyperlink" Target="https://login.consultant.ru/link/?req=doc&amp;base=RZR&amp;n=504649&amp;dst=101215" TargetMode="External"/><Relationship Id="rId31" Type="http://schemas.openxmlformats.org/officeDocument/2006/relationships/hyperlink" Target="https://login.consultant.ru/link/?req=doc&amp;base=RZR&amp;n=504649&amp;dst=1002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4649&amp;dst=100044" TargetMode="External"/><Relationship Id="rId14" Type="http://schemas.openxmlformats.org/officeDocument/2006/relationships/hyperlink" Target="https://login.consultant.ru/link/?req=doc&amp;base=RZR&amp;n=504649&amp;dst=100671" TargetMode="External"/><Relationship Id="rId22" Type="http://schemas.openxmlformats.org/officeDocument/2006/relationships/hyperlink" Target="https://login.consultant.ru/link/?req=doc&amp;base=RZR&amp;n=504649&amp;dst=101487" TargetMode="External"/><Relationship Id="rId27" Type="http://schemas.openxmlformats.org/officeDocument/2006/relationships/hyperlink" Target="https://login.consultant.ru/link/?req=doc&amp;base=RZR&amp;n=504649&amp;dst=102199" TargetMode="External"/><Relationship Id="rId30" Type="http://schemas.openxmlformats.org/officeDocument/2006/relationships/hyperlink" Target="https://login.consultant.ru/link/?req=doc&amp;base=RZR&amp;n=504649&amp;dst=100044" TargetMode="External"/><Relationship Id="rId35" Type="http://schemas.openxmlformats.org/officeDocument/2006/relationships/hyperlink" Target="https://login.consultant.ru/link/?req=doc&amp;base=RZR&amp;n=504649&amp;dst=100735" TargetMode="External"/><Relationship Id="rId8" Type="http://schemas.openxmlformats.org/officeDocument/2006/relationships/hyperlink" Target="https://login.consultant.ru/link/?req=doc&amp;base=RZR&amp;n=500550&amp;dst=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504649&amp;dst=100470" TargetMode="External"/><Relationship Id="rId17" Type="http://schemas.openxmlformats.org/officeDocument/2006/relationships/hyperlink" Target="https://login.consultant.ru/link/?req=doc&amp;base=RZR&amp;n=504649&amp;dst=100929" TargetMode="External"/><Relationship Id="rId25" Type="http://schemas.openxmlformats.org/officeDocument/2006/relationships/hyperlink" Target="https://login.consultant.ru/link/?req=doc&amp;base=RZR&amp;n=504649&amp;dst=101914" TargetMode="External"/><Relationship Id="rId33" Type="http://schemas.openxmlformats.org/officeDocument/2006/relationships/hyperlink" Target="https://login.consultant.ru/link/?req=doc&amp;base=RZR&amp;n=504649&amp;dst=100571" TargetMode="External"/><Relationship Id="rId38" Type="http://schemas.openxmlformats.org/officeDocument/2006/relationships/hyperlink" Target="https://login.consultant.ru/link/?req=doc&amp;base=RZR&amp;n=504649&amp;dst=101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2025-10-21T08:44:00Z</dcterms:created>
  <dcterms:modified xsi:type="dcterms:W3CDTF">2025-10-21T08:45:00Z</dcterms:modified>
</cp:coreProperties>
</file>