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right"/>
        <w:outlineLvl w:val="0"/>
      </w:pPr>
      <w:r>
        <w:t>Приложение N 19</w:t>
      </w: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right"/>
      </w:pPr>
      <w:r>
        <w:t>Утверждена</w:t>
      </w:r>
    </w:p>
    <w:p w:rsidR="00017CAC" w:rsidRDefault="00017CAC" w:rsidP="00017CAC">
      <w:pPr>
        <w:pStyle w:val="ConsPlusNormal"/>
        <w:jc w:val="right"/>
      </w:pPr>
      <w:r>
        <w:t>приказом Федеральной службы</w:t>
      </w:r>
    </w:p>
    <w:p w:rsidR="00017CAC" w:rsidRDefault="00017CAC" w:rsidP="00017CAC">
      <w:pPr>
        <w:pStyle w:val="ConsPlusNormal"/>
        <w:jc w:val="right"/>
      </w:pPr>
      <w:r>
        <w:t>по надзору в сфере образования и науки</w:t>
      </w:r>
    </w:p>
    <w:p w:rsidR="00017CAC" w:rsidRDefault="00017CAC" w:rsidP="00017CAC">
      <w:pPr>
        <w:pStyle w:val="ConsPlusNormal"/>
        <w:jc w:val="right"/>
      </w:pPr>
      <w:r>
        <w:t>от 09.01.2025 N 1</w:t>
      </w: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right"/>
      </w:pPr>
      <w:r>
        <w:t>Форма</w:t>
      </w:r>
    </w:p>
    <w:p w:rsidR="00017CAC" w:rsidRDefault="00017CAC" w:rsidP="00017CA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017CAC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7CAC" w:rsidRDefault="00017CAC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nformat"/>
        <w:jc w:val="both"/>
      </w:pPr>
      <w:bookmarkStart w:id="0" w:name="P6381"/>
      <w:bookmarkEnd w:id="0"/>
      <w:r>
        <w:t xml:space="preserve">                             Проверочный лист,</w:t>
      </w:r>
    </w:p>
    <w:p w:rsidR="00017CAC" w:rsidRDefault="00017CAC" w:rsidP="00017CAC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017CAC" w:rsidRDefault="00017CAC" w:rsidP="00017CAC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017CAC" w:rsidRDefault="00017CAC" w:rsidP="00017CAC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017CAC" w:rsidRDefault="00017CAC" w:rsidP="00017CAC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017CAC" w:rsidRDefault="00017CAC" w:rsidP="00017CAC">
      <w:pPr>
        <w:pStyle w:val="ConsPlusNonformat"/>
        <w:jc w:val="both"/>
      </w:pPr>
      <w:r>
        <w:t xml:space="preserve">         (надзора) в сфере образования в части порядка проведения</w:t>
      </w:r>
    </w:p>
    <w:p w:rsidR="00017CAC" w:rsidRDefault="00017CAC" w:rsidP="00017CAC">
      <w:pPr>
        <w:pStyle w:val="ConsPlusNonformat"/>
        <w:jc w:val="both"/>
      </w:pPr>
      <w:r>
        <w:t xml:space="preserve">          государственной итоговой аттестации по </w:t>
      </w:r>
      <w:proofErr w:type="gramStart"/>
      <w:r>
        <w:t>образовательным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                  программам среднего общего образования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017CAC" w:rsidRDefault="00017CAC" w:rsidP="00017CAC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017CAC" w:rsidRDefault="00017CAC" w:rsidP="00017CAC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017CAC" w:rsidRDefault="00017CAC" w:rsidP="00017CAC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017CAC" w:rsidRDefault="00017CAC" w:rsidP="00017CAC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  </w:t>
      </w:r>
      <w:proofErr w:type="gramStart"/>
      <w:r>
        <w:t>(указать наименование органа исполнительной власти субъекта Российской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  </w:t>
      </w:r>
      <w:proofErr w:type="gramStart"/>
      <w:r>
        <w:t>Федерации, осуществляющего переданные Российской Федерацией полномочия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                           в сфере образования)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017CAC" w:rsidRDefault="00017CAC" w:rsidP="00017CAC">
      <w:pPr>
        <w:pStyle w:val="ConsPlusNonformat"/>
        <w:jc w:val="both"/>
      </w:pPr>
      <w:r>
        <w:t>выездная проверка (далее - проверка):</w:t>
      </w:r>
    </w:p>
    <w:p w:rsidR="00017CAC" w:rsidRDefault="00017CAC" w:rsidP="00017CAC">
      <w:pPr>
        <w:pStyle w:val="ConsPlusNonformat"/>
        <w:jc w:val="both"/>
      </w:pPr>
      <w:r>
        <w:t>__________________________________________________________________________.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017CAC" w:rsidRDefault="00017CAC" w:rsidP="00017CAC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017CAC" w:rsidRDefault="00017CAC" w:rsidP="00017CAC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017CAC" w:rsidRDefault="00017CAC" w:rsidP="00017CAC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017CAC" w:rsidRDefault="00017CAC" w:rsidP="00017CAC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017CAC" w:rsidRDefault="00017CAC" w:rsidP="00017CAC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017CAC" w:rsidRDefault="00017CAC" w:rsidP="00017CAC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017CAC" w:rsidRDefault="00017CAC" w:rsidP="00017CAC">
      <w:pPr>
        <w:pStyle w:val="ConsPlusNonformat"/>
        <w:jc w:val="both"/>
      </w:pPr>
      <w:r>
        <w:t>контролируемым лицом:</w:t>
      </w:r>
    </w:p>
    <w:p w:rsidR="00017CAC" w:rsidRDefault="00017CAC" w:rsidP="00017CAC">
      <w:pPr>
        <w:pStyle w:val="ConsPlusNonformat"/>
        <w:jc w:val="both"/>
      </w:pPr>
      <w:r>
        <w:t>__________________________________________________________________________.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017CAC" w:rsidRDefault="00017CAC" w:rsidP="00017CAC">
      <w:pPr>
        <w:pStyle w:val="ConsPlusNonformat"/>
        <w:jc w:val="both"/>
      </w:pPr>
      <w:r>
        <w:t>__________________________________________________________________________.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017CAC" w:rsidRDefault="00017CAC" w:rsidP="00017CAC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017CAC" w:rsidRDefault="00017CAC" w:rsidP="00017CAC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017CAC" w:rsidRDefault="00017CAC" w:rsidP="00017CAC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017CAC" w:rsidRDefault="00017CAC" w:rsidP="00017CAC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017CAC" w:rsidRDefault="00017CAC" w:rsidP="00017CAC">
      <w:pPr>
        <w:pStyle w:val="ConsPlusNonformat"/>
        <w:jc w:val="both"/>
      </w:pPr>
      <w:r>
        <w:t>сфере образования:</w:t>
      </w:r>
    </w:p>
    <w:p w:rsidR="00017CAC" w:rsidRDefault="00017CAC" w:rsidP="00017CAC">
      <w:pPr>
        <w:pStyle w:val="ConsPlusNonformat"/>
        <w:jc w:val="both"/>
      </w:pPr>
      <w:r>
        <w:t>__________________________________________________________________________.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017CAC" w:rsidRDefault="00017CAC" w:rsidP="00017CAC">
      <w:pPr>
        <w:pStyle w:val="ConsPlusNonformat"/>
        <w:jc w:val="both"/>
      </w:pPr>
      <w:r>
        <w:lastRenderedPageBreak/>
        <w:t>требований, ответы на которые свидетельствуют о соблюдении или несоблюдении</w:t>
      </w:r>
    </w:p>
    <w:p w:rsidR="00017CAC" w:rsidRDefault="00017CAC" w:rsidP="00017CAC">
      <w:pPr>
        <w:pStyle w:val="ConsPlusNonformat"/>
        <w:jc w:val="both"/>
      </w:pPr>
      <w:r>
        <w:t>контролируемым лицом обязательных требований:</w:t>
      </w: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sectPr w:rsidR="00017CA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017CAC" w:rsidTr="0085098B">
        <w:tc>
          <w:tcPr>
            <w:tcW w:w="566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017CAC" w:rsidRDefault="00017CAC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017CAC" w:rsidRDefault="00017CAC" w:rsidP="0085098B">
            <w:pPr>
              <w:pStyle w:val="ConsPlusNormal"/>
              <w:jc w:val="both"/>
            </w:pPr>
            <w:r>
              <w:t>Осуществляется ли организацией,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- образовательная организация), проведение государственной итоговой аттестации по образовательным программам среднего общего образования (далее - ГИА), завершающей освоение указанных образовательных программ среднего общего образования?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2</w:t>
              </w:r>
            </w:hyperlink>
            <w:r>
              <w:t xml:space="preserve"> Порядка проведения государственной итоговой аттестации по образовательным программам среднего общего образования </w:t>
            </w:r>
            <w:hyperlink w:anchor="P6620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233/552)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Проводится ли ГИА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3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 xml:space="preserve">Освобождаются ли лица, обучающиеся по образовательным программам среднего общего образования,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от прохождения ГИА по учебному предмету, соответствующему профилю всероссийской олимпиады школьников, международной олимпиады? </w:t>
            </w:r>
            <w:hyperlink w:anchor="P6621">
              <w:r>
                <w:rPr>
                  <w:color w:val="0000FF"/>
                </w:rPr>
                <w:t>&lt;2&gt;</w:t>
              </w:r>
            </w:hyperlink>
            <w:proofErr w:type="gramEnd"/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4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Предоставляется ли право лицам, обучающимся по образовательным программам среднего профессионального образования (далее - обучающиеся СПО), не имеющим среднего общего образования, пройти ГИА, </w:t>
            </w:r>
            <w:proofErr w:type="gramStart"/>
            <w:r>
              <w:t>которой</w:t>
            </w:r>
            <w:proofErr w:type="gramEnd"/>
            <w:r>
              <w:t xml:space="preserve"> завершается освоение образовательных программ среднего общего образования?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5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 xml:space="preserve">Предоставляется ли право лицам, осваивающим образовательные программы среднего общего образования в форме самообразования или семейного образования, либо лицам, обучавшимся по не имеющим государственной аккредитации образовательным программам среднего общего образования, пройти ГИА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- образовательная организация), в формах, установленных </w:t>
            </w:r>
            <w:hyperlink r:id="rId9">
              <w:r>
                <w:rPr>
                  <w:color w:val="0000FF"/>
                </w:rPr>
                <w:t>пунктом 7</w:t>
              </w:r>
            </w:hyperlink>
            <w:r>
              <w:t xml:space="preserve"> Порядка N 233/552 (далее вместе</w:t>
            </w:r>
            <w:proofErr w:type="gramEnd"/>
            <w:r>
              <w:t xml:space="preserve"> - экстерны)?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6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Проводится ли ГИА в одной из форм:</w:t>
            </w:r>
          </w:p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>1) в форме единого государственного экзамена (далее - ЕГЭ)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среднего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</w:t>
            </w:r>
            <w:proofErr w:type="gramEnd"/>
            <w:r>
              <w:t xml:space="preserve"> </w:t>
            </w:r>
            <w:proofErr w:type="gramStart"/>
            <w:r>
              <w:t xml:space="preserve">за пределами территории Российской Федерации, для обучающихся в дипломатических представительствах и консульских учреждениях Российской Федерации, </w:t>
            </w:r>
            <w:r>
              <w:lastRenderedPageBreak/>
              <w:t>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экстернов?</w:t>
            </w:r>
            <w:proofErr w:type="gramEnd"/>
          </w:p>
        </w:tc>
        <w:tc>
          <w:tcPr>
            <w:tcW w:w="3572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Пункт 7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>2)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СПО,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</w:t>
            </w:r>
            <w:proofErr w:type="gramEnd"/>
            <w:r>
              <w:t xml:space="preserve"> и среднего общего образования,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>3)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</w:t>
            </w:r>
            <w:proofErr w:type="gramEnd"/>
            <w:r>
              <w:t xml:space="preserve"> и (или) родной литературе для прохождения ГИА на добровольной основе?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Имеют ли годовые отметки не ниже удовлетворительных по всем учебным предметам учебного плана за предпоследний год обучения лица, допущенные к экзаменам по отдельным учебным предметам, освоение которых завершилось ранее, обучающиеся X - XI (XII) классов?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Отсутствует ли академическая задолженность у допущенных к ГИА лиц, указанных в </w:t>
            </w:r>
            <w:hyperlink r:id="rId13">
              <w:r>
                <w:rPr>
                  <w:color w:val="0000FF"/>
                </w:rPr>
                <w:t>пункте 7</w:t>
              </w:r>
            </w:hyperlink>
            <w:r>
              <w:t xml:space="preserve"> Порядка N 233/552 (за исключением экстернов)?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Выполнили ли в полном объеме учебный план или индивидуальный учебный план (имеющие годовые отметки по всем учебным предметам учебного плана за каждый год </w:t>
            </w:r>
            <w:proofErr w:type="gramStart"/>
            <w:r>
              <w:t>обучения по</w:t>
            </w:r>
            <w:proofErr w:type="gramEnd"/>
            <w:r>
              <w:t xml:space="preserve"> образовательным программам среднего общего образования не ниже удовлетворительных) допущенные к ГИА лица, указанные в </w:t>
            </w:r>
            <w:hyperlink r:id="rId15">
              <w:r>
                <w:rPr>
                  <w:color w:val="0000FF"/>
                </w:rPr>
                <w:t>пункте 7</w:t>
              </w:r>
            </w:hyperlink>
            <w:r>
              <w:t xml:space="preserve"> Порядка N 233/552 (за исключением экстернов)?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Имеют ли результат "зачет" за итоговое сочинение (изложение) допущенные к ГИА лица, указанные в </w:t>
            </w:r>
            <w:hyperlink r:id="rId17">
              <w:r>
                <w:rPr>
                  <w:color w:val="0000FF"/>
                </w:rPr>
                <w:t>пункте 7</w:t>
              </w:r>
            </w:hyperlink>
            <w:r>
              <w:t xml:space="preserve"> Порядка N 233/552 (за исключением экстернов)?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Допускаются ли экстерны к ГИА при условии получения на промежуточной аттестации отметок не ниже удовлетворительных, а также получения результата "зачет" за итоговое сочинение (изложение)?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8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Проводится ли ГИА в форме ЕГЭ и (или) ГВЭ по учебным предметам "Русский язык" и "Математика"?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Проводится ли ЕГЭ по учебному предмету "Математика" по двум уровням:</w:t>
            </w:r>
          </w:p>
          <w:p w:rsidR="00017CAC" w:rsidRDefault="00017CAC" w:rsidP="0085098B">
            <w:pPr>
              <w:pStyle w:val="ConsPlusNormal"/>
              <w:jc w:val="both"/>
            </w:pPr>
            <w:r>
              <w:t>1) ЕГЭ, результаты которого признаются в качестве результатов ГИА?</w:t>
            </w:r>
          </w:p>
        </w:tc>
        <w:tc>
          <w:tcPr>
            <w:tcW w:w="3572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2) ЕГЭ, результаты которого признаются в качестве результатов ГИА, а также в качестве результатов вступительных испытаний по математике при приеме на </w:t>
            </w:r>
            <w:proofErr w:type="gramStart"/>
            <w:r>
              <w:t>обучение по программам</w:t>
            </w:r>
            <w:proofErr w:type="gramEnd"/>
            <w:r>
              <w:t xml:space="preserve"> </w:t>
            </w:r>
            <w:proofErr w:type="spellStart"/>
            <w:r>
              <w:t>бакалавриата</w:t>
            </w:r>
            <w:proofErr w:type="spellEnd"/>
            <w:r>
              <w:t xml:space="preserve"> и программам </w:t>
            </w:r>
            <w:proofErr w:type="spellStart"/>
            <w:r>
              <w:t>специалитета</w:t>
            </w:r>
            <w:proofErr w:type="spellEnd"/>
            <w:r>
              <w:t>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Предоставляется ли право обучающимся и экстернам, изучавшим родной язык и родную литературу при получении среднего общего образования, при прохождении ГИА выбрать экзамен по родному языку и (или) родной литературе?</w:t>
            </w:r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9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</w:tcPr>
          <w:p w:rsidR="00017CAC" w:rsidRDefault="00017CAC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 xml:space="preserve">Проводятся ли экзамены по всем учебным предметам, указанным в </w:t>
            </w:r>
            <w:hyperlink r:id="rId23">
              <w:r>
                <w:rPr>
                  <w:color w:val="0000FF"/>
                </w:rPr>
                <w:t>пункте 9</w:t>
              </w:r>
            </w:hyperlink>
            <w:r>
              <w:t xml:space="preserve"> Порядка N 233/552, в письменной форме (за исключением случая, когда структурой и содержанием КИМ предусмотрено выполнение заданий в устной форме, а также за исключением проведения ГВЭ в устной форме в случае, установленном </w:t>
            </w:r>
            <w:hyperlink r:id="rId24">
              <w:r>
                <w:rPr>
                  <w:color w:val="0000FF"/>
                </w:rPr>
                <w:t>подпунктом 1 пункта 59</w:t>
              </w:r>
            </w:hyperlink>
            <w:r>
              <w:t xml:space="preserve"> Порядка N 233/552) и на русском языке (за исключением учебных предметов</w:t>
            </w:r>
            <w:proofErr w:type="gramEnd"/>
            <w:r>
              <w:t xml:space="preserve"> "</w:t>
            </w:r>
            <w:proofErr w:type="gramStart"/>
            <w:r>
              <w:t>Иностранные языки" (английский, испанский, китайский, немецкий и французский), "Родной язык" и "Родная литература")?</w:t>
            </w:r>
            <w:proofErr w:type="gramEnd"/>
          </w:p>
        </w:tc>
        <w:tc>
          <w:tcPr>
            <w:tcW w:w="3572" w:type="dxa"/>
          </w:tcPr>
          <w:p w:rsidR="00017CAC" w:rsidRDefault="00017CAC" w:rsidP="0085098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Пункт 10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В целях содействия проведению экзаменов образовательные организации:</w:t>
            </w:r>
          </w:p>
          <w:p w:rsidR="00017CAC" w:rsidRDefault="00017CAC" w:rsidP="0085098B">
            <w:pPr>
              <w:pStyle w:val="ConsPlusNormal"/>
              <w:jc w:val="both"/>
            </w:pPr>
            <w:r>
              <w:t xml:space="preserve">1) направляют ли своих работников для работы в качестве руководителей пунктов проведения экзаменов (далее - ППЭ), организаторов, членов ГЭК, предметных и апелляционной комиссий, технических специалистов, ассистентов, экзаменаторов-собеседников и осуществляют ли </w:t>
            </w:r>
            <w:proofErr w:type="gramStart"/>
            <w:r>
              <w:t>контроль за</w:t>
            </w:r>
            <w:proofErr w:type="gramEnd"/>
            <w:r>
              <w:t xml:space="preserve"> участием своих работников в организации и проведении экзаменов?</w:t>
            </w:r>
          </w:p>
        </w:tc>
        <w:tc>
          <w:tcPr>
            <w:tcW w:w="3572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Пункт 44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 xml:space="preserve">2) информируют ли под подпись работников, привлекаемых к </w:t>
            </w:r>
            <w:r>
              <w:lastRenderedPageBreak/>
              <w:t xml:space="preserve">организации и проведению экзаменов,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организации и проведению экзаменов и нарушивших </w:t>
            </w:r>
            <w:hyperlink r:id="rId27">
              <w:r>
                <w:rPr>
                  <w:color w:val="0000FF"/>
                </w:rPr>
                <w:t>Порядок</w:t>
              </w:r>
            </w:hyperlink>
            <w:r>
              <w:t xml:space="preserve"> N 233/552?</w:t>
            </w:r>
            <w:proofErr w:type="gramEnd"/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 xml:space="preserve">3) вносят ли сведения в региональные информационные системы в порядке, устанавливаемом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29 ноября 2021 г. N 2085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</w:t>
            </w:r>
            <w:proofErr w:type="gramEnd"/>
            <w:r>
              <w:t xml:space="preserve"> проведения государственной итоговой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образовательные программы основного общего и среднего общего образования"?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proofErr w:type="gramStart"/>
            <w:r>
              <w:t>4) информируют ли под подпись участников ГИА и их родителей (законных представителей) о сроках, местах и порядке подачи заявлений об 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аудиториях</w:t>
            </w:r>
            <w:proofErr w:type="gramEnd"/>
            <w:r>
              <w:t xml:space="preserve"> видеозаписи, о порядке подачи и рассмотрения апелляций о нарушении </w:t>
            </w:r>
            <w:hyperlink r:id="rId29">
              <w:r>
                <w:rPr>
                  <w:color w:val="0000FF"/>
                </w:rPr>
                <w:t>Порядка</w:t>
              </w:r>
            </w:hyperlink>
            <w:r>
              <w:t xml:space="preserve"> N 233/552 и о несогласии с выставленными баллами, о времени и месте ознакомления с </w:t>
            </w:r>
            <w:r>
              <w:lastRenderedPageBreak/>
              <w:t>результатами экзаменов, а также о результатах экзаменов, полученных участниками ГИА?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>Публикуется ли в целях информирования граждан о порядке проведения итогового сочинения (изложения) и экзаменов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образовательных организаций и (или) соответствующих специализированных сайтах следующая информация:</w:t>
            </w:r>
          </w:p>
          <w:p w:rsidR="00017CAC" w:rsidRDefault="00017CAC" w:rsidP="0085098B">
            <w:pPr>
              <w:pStyle w:val="ConsPlusNormal"/>
              <w:jc w:val="both"/>
            </w:pPr>
            <w:r>
              <w:t xml:space="preserve">1) 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участия в итоговом сочинении для лиц, указанных в </w:t>
            </w:r>
            <w:hyperlink r:id="rId30">
              <w:r>
                <w:rPr>
                  <w:color w:val="0000FF"/>
                </w:rPr>
                <w:t>пункте 24</w:t>
              </w:r>
            </w:hyperlink>
            <w:r>
              <w:t xml:space="preserve"> Порядка N 233/552,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основной даты проведения итогового сочинения (изложения)?</w:t>
            </w:r>
          </w:p>
        </w:tc>
        <w:tc>
          <w:tcPr>
            <w:tcW w:w="3572" w:type="dxa"/>
            <w:vMerge w:val="restart"/>
          </w:tcPr>
          <w:p w:rsidR="00017CAC" w:rsidRDefault="00017CAC" w:rsidP="0085098B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Пункт 46</w:t>
              </w:r>
            </w:hyperlink>
            <w:r>
              <w:t xml:space="preserve"> Порядка N 233/552</w:t>
            </w: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2) о сроках проведения экзаменов, сроках и местах подачи заявлений об участии в экзаменах и заявлений об участии в ЕГЭ, местах регистрации на сдачу ЕГЭ для участников ЕГЭ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завершения срока подачи заявлений об участии в экзаменах, заявлений об участии в ЕГЭ?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3) о сроках, местах, порядке подачи и рассмотрения апелляций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начала проведения экзаменов?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  <w:tr w:rsidR="00017CAC" w:rsidTr="0085098B">
        <w:tc>
          <w:tcPr>
            <w:tcW w:w="566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009" w:type="dxa"/>
          </w:tcPr>
          <w:p w:rsidR="00017CAC" w:rsidRDefault="00017CAC" w:rsidP="0085098B">
            <w:pPr>
              <w:pStyle w:val="ConsPlusNormal"/>
              <w:jc w:val="both"/>
            </w:pPr>
            <w:r>
              <w:t xml:space="preserve">4) о сроках, местах и порядке информирования о результатах итогового сочинения (изложения), экзаменов - не </w:t>
            </w:r>
            <w:proofErr w:type="gramStart"/>
            <w:r>
              <w:t>позднее</w:t>
            </w:r>
            <w:proofErr w:type="gramEnd"/>
            <w:r>
              <w:t xml:space="preserve"> чем за месяц до основной даты проведения итогового сочинения (изложения), начала проведения экзаменов?</w:t>
            </w:r>
          </w:p>
        </w:tc>
        <w:tc>
          <w:tcPr>
            <w:tcW w:w="3572" w:type="dxa"/>
            <w:vMerge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680" w:type="dxa"/>
          </w:tcPr>
          <w:p w:rsidR="00017CAC" w:rsidRDefault="00017CAC" w:rsidP="0085098B">
            <w:pPr>
              <w:pStyle w:val="ConsPlusNormal"/>
            </w:pPr>
          </w:p>
        </w:tc>
        <w:tc>
          <w:tcPr>
            <w:tcW w:w="1417" w:type="dxa"/>
          </w:tcPr>
          <w:p w:rsidR="00017CAC" w:rsidRDefault="00017CAC" w:rsidP="0085098B">
            <w:pPr>
              <w:pStyle w:val="ConsPlusNormal"/>
            </w:pPr>
          </w:p>
        </w:tc>
      </w:tr>
    </w:tbl>
    <w:p w:rsidR="00017CAC" w:rsidRDefault="00017CAC" w:rsidP="00017CAC">
      <w:pPr>
        <w:pStyle w:val="ConsPlusNormal"/>
        <w:sectPr w:rsidR="00017CA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nformat"/>
        <w:jc w:val="both"/>
      </w:pPr>
      <w:r>
        <w:t xml:space="preserve">    9. Дата заполнения проверочного листа __________</w:t>
      </w:r>
    </w:p>
    <w:p w:rsidR="00017CAC" w:rsidRDefault="00017CAC" w:rsidP="00017CAC">
      <w:pPr>
        <w:pStyle w:val="ConsPlusNonformat"/>
        <w:jc w:val="both"/>
      </w:pPr>
    </w:p>
    <w:p w:rsidR="00017CAC" w:rsidRDefault="00017CAC" w:rsidP="00017CAC">
      <w:pPr>
        <w:pStyle w:val="ConsPlusNonformat"/>
        <w:jc w:val="both"/>
      </w:pPr>
      <w:r>
        <w:t>________________________________________________________________  _________</w:t>
      </w:r>
    </w:p>
    <w:p w:rsidR="00017CAC" w:rsidRDefault="00017CAC" w:rsidP="00017CAC">
      <w:pPr>
        <w:pStyle w:val="ConsPlusNonformat"/>
        <w:jc w:val="both"/>
      </w:pPr>
      <w:r>
        <w:t xml:space="preserve"> </w:t>
      </w:r>
      <w:proofErr w:type="gramStart"/>
      <w:r>
        <w:t>(Должность, фамилия, имя, отчество (при наличии) должностного    (подпись)</w:t>
      </w:r>
      <w:proofErr w:type="gramEnd"/>
    </w:p>
    <w:p w:rsidR="00017CAC" w:rsidRDefault="00017CAC" w:rsidP="00017CAC">
      <w:pPr>
        <w:pStyle w:val="ConsPlusNonformat"/>
        <w:jc w:val="both"/>
      </w:pPr>
      <w:r>
        <w:t>лица органа исполнительной власти субъекта Российской Федерации,</w:t>
      </w:r>
    </w:p>
    <w:p w:rsidR="00017CAC" w:rsidRDefault="00017CAC" w:rsidP="00017CAC">
      <w:pPr>
        <w:pStyle w:val="ConsPlusNonformat"/>
        <w:jc w:val="both"/>
      </w:pPr>
      <w:r>
        <w:t xml:space="preserve">  </w:t>
      </w:r>
      <w:proofErr w:type="gramStart"/>
      <w:r>
        <w:t>осуществляющего переданные Российской Федерацией полномочия</w:t>
      </w:r>
      <w:proofErr w:type="gramEnd"/>
    </w:p>
    <w:p w:rsidR="00017CAC" w:rsidRDefault="00017CAC" w:rsidP="00017CAC">
      <w:pPr>
        <w:pStyle w:val="ConsPlusNonformat"/>
        <w:jc w:val="both"/>
      </w:pPr>
      <w:r>
        <w:t xml:space="preserve">   в сфере образования, проводившего проверку и заполнившего</w:t>
      </w:r>
    </w:p>
    <w:p w:rsidR="00017CAC" w:rsidRDefault="00017CAC" w:rsidP="00017CAC">
      <w:pPr>
        <w:pStyle w:val="ConsPlusNonformat"/>
        <w:jc w:val="both"/>
      </w:pPr>
      <w:r>
        <w:t xml:space="preserve">                       проверочный лист)</w:t>
      </w: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ind w:firstLine="540"/>
        <w:jc w:val="both"/>
      </w:pPr>
      <w:r>
        <w:t>--------------------------------</w:t>
      </w:r>
    </w:p>
    <w:p w:rsidR="00017CAC" w:rsidRDefault="00017CAC" w:rsidP="00017CAC">
      <w:pPr>
        <w:pStyle w:val="ConsPlusNormal"/>
        <w:spacing w:before="220"/>
        <w:ind w:firstLine="540"/>
        <w:jc w:val="both"/>
      </w:pPr>
      <w:bookmarkStart w:id="1" w:name="P6620"/>
      <w:bookmarkEnd w:id="1"/>
      <w:proofErr w:type="gramStart"/>
      <w:r>
        <w:t xml:space="preserve">&lt;1&gt; Утвержден </w:t>
      </w:r>
      <w:hyperlink r:id="rId3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4 апреля 2023 г. N 233/552 (зарегистрирован Минюстом России 15 мая 2023 г., регистрационный N 73314) с изменениями, внесенными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12 апреля 2024 г. N 243/802 (зарегистрирован Минюстом России 19 апреля 2024 г., регистрационный N 77936), действует до 1 сентября 2029 года.</w:t>
      </w:r>
      <w:proofErr w:type="gramEnd"/>
    </w:p>
    <w:p w:rsidR="00017CAC" w:rsidRDefault="00017CAC" w:rsidP="00017CAC">
      <w:pPr>
        <w:pStyle w:val="ConsPlusNormal"/>
        <w:spacing w:before="220"/>
        <w:ind w:firstLine="540"/>
        <w:jc w:val="both"/>
      </w:pPr>
      <w:bookmarkStart w:id="2" w:name="P6621"/>
      <w:bookmarkEnd w:id="2"/>
      <w:r>
        <w:t xml:space="preserve">&lt;2&gt; </w:t>
      </w:r>
      <w:hyperlink r:id="rId33">
        <w:r>
          <w:rPr>
            <w:color w:val="0000FF"/>
          </w:rPr>
          <w:t>Пункт 1 части 4 статьи 71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both"/>
      </w:pPr>
    </w:p>
    <w:p w:rsidR="00017CAC" w:rsidRDefault="00017CAC" w:rsidP="00017CAC">
      <w:pPr>
        <w:pStyle w:val="ConsPlusNormal"/>
        <w:jc w:val="both"/>
      </w:pPr>
    </w:p>
    <w:p w:rsidR="00B34D11" w:rsidRDefault="00B34D11">
      <w:bookmarkStart w:id="3" w:name="_GoBack"/>
      <w:bookmarkEnd w:id="3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AC"/>
    <w:rsid w:val="00017CAC"/>
    <w:rsid w:val="006E4932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7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7C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5036&amp;dst=100030" TargetMode="External"/><Relationship Id="rId18" Type="http://schemas.openxmlformats.org/officeDocument/2006/relationships/hyperlink" Target="https://login.consultant.ru/link/?req=doc&amp;base=RZR&amp;n=475036&amp;dst=100040" TargetMode="External"/><Relationship Id="rId26" Type="http://schemas.openxmlformats.org/officeDocument/2006/relationships/hyperlink" Target="https://login.consultant.ru/link/?req=doc&amp;base=RZR&amp;n=475036&amp;dst=1003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75036&amp;dst=10004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475036&amp;dst=100020" TargetMode="External"/><Relationship Id="rId12" Type="http://schemas.openxmlformats.org/officeDocument/2006/relationships/hyperlink" Target="https://login.consultant.ru/link/?req=doc&amp;base=RZR&amp;n=475036&amp;dst=100040" TargetMode="External"/><Relationship Id="rId17" Type="http://schemas.openxmlformats.org/officeDocument/2006/relationships/hyperlink" Target="https://login.consultant.ru/link/?req=doc&amp;base=RZR&amp;n=475036&amp;dst=100030" TargetMode="External"/><Relationship Id="rId25" Type="http://schemas.openxmlformats.org/officeDocument/2006/relationships/hyperlink" Target="https://login.consultant.ru/link/?req=doc&amp;base=RZR&amp;n=475036&amp;dst=100054" TargetMode="External"/><Relationship Id="rId33" Type="http://schemas.openxmlformats.org/officeDocument/2006/relationships/hyperlink" Target="https://login.consultant.ru/link/?req=doc&amp;base=RZR&amp;n=515575&amp;dst=10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75036&amp;dst=100040" TargetMode="External"/><Relationship Id="rId20" Type="http://schemas.openxmlformats.org/officeDocument/2006/relationships/hyperlink" Target="https://login.consultant.ru/link/?req=doc&amp;base=RZR&amp;n=475036&amp;dst=100046" TargetMode="External"/><Relationship Id="rId29" Type="http://schemas.openxmlformats.org/officeDocument/2006/relationships/hyperlink" Target="https://login.consultant.ru/link/?req=doc&amp;base=RZR&amp;n=475036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5036&amp;dst=100017" TargetMode="External"/><Relationship Id="rId11" Type="http://schemas.openxmlformats.org/officeDocument/2006/relationships/hyperlink" Target="https://login.consultant.ru/link/?req=doc&amp;base=RZR&amp;n=475036&amp;dst=100030" TargetMode="External"/><Relationship Id="rId24" Type="http://schemas.openxmlformats.org/officeDocument/2006/relationships/hyperlink" Target="https://login.consultant.ru/link/?req=doc&amp;base=RZR&amp;n=475036&amp;dst=100374" TargetMode="External"/><Relationship Id="rId32" Type="http://schemas.openxmlformats.org/officeDocument/2006/relationships/hyperlink" Target="https://login.consultant.ru/link/?req=doc&amp;base=RZR&amp;n=475036" TargetMode="External"/><Relationship Id="rId5" Type="http://schemas.openxmlformats.org/officeDocument/2006/relationships/hyperlink" Target="https://login.consultant.ru/link/?req=doc&amp;base=RZR&amp;n=475036&amp;dst=100016" TargetMode="External"/><Relationship Id="rId15" Type="http://schemas.openxmlformats.org/officeDocument/2006/relationships/hyperlink" Target="https://login.consultant.ru/link/?req=doc&amp;base=RZR&amp;n=475036&amp;dst=100030" TargetMode="External"/><Relationship Id="rId23" Type="http://schemas.openxmlformats.org/officeDocument/2006/relationships/hyperlink" Target="https://login.consultant.ru/link/?req=doc&amp;base=RZR&amp;n=475036&amp;dst=100046" TargetMode="External"/><Relationship Id="rId28" Type="http://schemas.openxmlformats.org/officeDocument/2006/relationships/hyperlink" Target="https://login.consultant.ru/link/?req=doc&amp;base=RZR&amp;n=477896" TargetMode="External"/><Relationship Id="rId10" Type="http://schemas.openxmlformats.org/officeDocument/2006/relationships/hyperlink" Target="https://login.consultant.ru/link/?req=doc&amp;base=RZR&amp;n=475036&amp;dst=100026" TargetMode="External"/><Relationship Id="rId19" Type="http://schemas.openxmlformats.org/officeDocument/2006/relationships/hyperlink" Target="https://login.consultant.ru/link/?req=doc&amp;base=RZR&amp;n=475036&amp;dst=100040" TargetMode="External"/><Relationship Id="rId31" Type="http://schemas.openxmlformats.org/officeDocument/2006/relationships/hyperlink" Target="https://login.consultant.ru/link/?req=doc&amp;base=RZR&amp;n=475036&amp;dst=100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75036&amp;dst=100030" TargetMode="External"/><Relationship Id="rId14" Type="http://schemas.openxmlformats.org/officeDocument/2006/relationships/hyperlink" Target="https://login.consultant.ru/link/?req=doc&amp;base=RZR&amp;n=475036&amp;dst=100040" TargetMode="External"/><Relationship Id="rId22" Type="http://schemas.openxmlformats.org/officeDocument/2006/relationships/hyperlink" Target="https://login.consultant.ru/link/?req=doc&amp;base=RZR&amp;n=475036&amp;dst=100046" TargetMode="External"/><Relationship Id="rId27" Type="http://schemas.openxmlformats.org/officeDocument/2006/relationships/hyperlink" Target="https://login.consultant.ru/link/?req=doc&amp;base=RZR&amp;n=475036&amp;dst=100013" TargetMode="External"/><Relationship Id="rId30" Type="http://schemas.openxmlformats.org/officeDocument/2006/relationships/hyperlink" Target="https://login.consultant.ru/link/?req=doc&amp;base=RZR&amp;n=475036&amp;dst=10010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475036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2025-10-21T13:40:00Z</dcterms:created>
  <dcterms:modified xsi:type="dcterms:W3CDTF">2025-10-21T13:41:00Z</dcterms:modified>
</cp:coreProperties>
</file>