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2F" w:rsidRDefault="00104A2F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04A2F" w:rsidRDefault="00104A2F">
      <w:pPr>
        <w:pStyle w:val="ConsPlusNormal"/>
        <w:jc w:val="both"/>
        <w:outlineLvl w:val="0"/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104A2F" w:rsidTr="00104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A2F" w:rsidRDefault="00104A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A2F" w:rsidRDefault="00104A2F">
            <w:pPr>
              <w:pStyle w:val="ConsPlusNormal"/>
            </w:pPr>
            <w:bookmarkStart w:id="0" w:name="_GoBack"/>
            <w:bookmarkEnd w:id="0"/>
          </w:p>
        </w:tc>
      </w:tr>
    </w:tbl>
    <w:p w:rsidR="00104A2F" w:rsidRDefault="00104A2F">
      <w:pPr>
        <w:pStyle w:val="ConsPlusNormal"/>
        <w:spacing w:before="480"/>
      </w:pPr>
      <w:r>
        <w:rPr>
          <w:b/>
          <w:sz w:val="38"/>
        </w:rPr>
        <w:t>Какие бывают формы дополнительного образования для детей?</w:t>
      </w:r>
    </w:p>
    <w:p w:rsidR="00104A2F" w:rsidRDefault="00104A2F">
      <w:pPr>
        <w:pStyle w:val="ConsPlusNormal"/>
        <w:jc w:val="both"/>
      </w:pPr>
    </w:p>
    <w:tbl>
      <w:tblPr>
        <w:tblW w:w="224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"/>
        <w:gridCol w:w="180"/>
        <w:gridCol w:w="180"/>
      </w:tblGrid>
      <w:tr w:rsidR="00104A2F" w:rsidTr="00104A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A2F" w:rsidRDefault="00104A2F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A2F" w:rsidRDefault="00104A2F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A2F" w:rsidRDefault="00104A2F">
            <w:pPr>
              <w:pStyle w:val="ConsPlusNormal"/>
            </w:pPr>
          </w:p>
        </w:tc>
      </w:tr>
    </w:tbl>
    <w:p w:rsidR="00104A2F" w:rsidRDefault="00104A2F">
      <w:pPr>
        <w:pStyle w:val="ConsPlusNormal"/>
        <w:spacing w:before="280"/>
        <w:jc w:val="both"/>
      </w:pPr>
      <w:r>
        <w:t>Дополнительное образование детей направлено, в частности, на развитие их творческих способностей, укрепление здоровья, организацию их свободного времени, профессиональную ориентацию, а также на выявление и поддержку детей с выдающимися способностями. Дополнительные общеобразовательные программы подразделяются на дополнительные общеразвивающие программы, дополнительные предпрофессиональные в области искусств и дополнительные образовательные программы спортивной подготовки. При этом для детей могут реализовываться все указанные программы (</w:t>
      </w:r>
      <w:hyperlink r:id="rId7">
        <w:r>
          <w:rPr>
            <w:color w:val="0000FF"/>
          </w:rPr>
          <w:t>ч. 2</w:t>
        </w:r>
      </w:hyperlink>
      <w:r>
        <w:t xml:space="preserve">, </w:t>
      </w:r>
      <w:hyperlink r:id="rId8">
        <w:r>
          <w:rPr>
            <w:color w:val="0000FF"/>
          </w:rPr>
          <w:t>4 ст. 12</w:t>
        </w:r>
      </w:hyperlink>
      <w:r>
        <w:t xml:space="preserve">, </w:t>
      </w:r>
      <w:hyperlink r:id="rId9">
        <w:r>
          <w:rPr>
            <w:color w:val="0000FF"/>
          </w:rPr>
          <w:t>ч. 1</w:t>
        </w:r>
      </w:hyperlink>
      <w:r>
        <w:t xml:space="preserve">, </w:t>
      </w:r>
      <w:hyperlink r:id="rId10">
        <w:r>
          <w:rPr>
            <w:color w:val="0000FF"/>
          </w:rPr>
          <w:t>2 ст. 75</w:t>
        </w:r>
      </w:hyperlink>
      <w:r>
        <w:t xml:space="preserve"> Закона от 29.12.2012 N 273-ФЗ).</w:t>
      </w:r>
    </w:p>
    <w:p w:rsidR="00104A2F" w:rsidRDefault="00104A2F">
      <w:pPr>
        <w:pStyle w:val="ConsPlusNormal"/>
        <w:spacing w:before="220"/>
        <w:jc w:val="both"/>
      </w:pPr>
      <w:r>
        <w:t>Организации, осуществляющие образовательную деятельность по дополнительным общеобразовательным программам, могут организовать процесс обучения в соответствии с индивидуальными учебными планами в объединениях по интересам, а также индивидуально. Объединения могут формироваться из группы обучающихся как одного возраста, так и разных возрастов (</w:t>
      </w:r>
      <w:hyperlink r:id="rId11">
        <w:r>
          <w:rPr>
            <w:color w:val="0000FF"/>
          </w:rPr>
          <w:t>п. 9</w:t>
        </w:r>
      </w:hyperlink>
      <w:r>
        <w:t xml:space="preserve"> Порядка, утв. Приказом </w:t>
      </w:r>
      <w:proofErr w:type="spellStart"/>
      <w:r>
        <w:t>Минпросвещения</w:t>
      </w:r>
      <w:proofErr w:type="spellEnd"/>
      <w:r>
        <w:t xml:space="preserve"> России от 27.07.2022 N 629).</w:t>
      </w:r>
    </w:p>
    <w:p w:rsidR="00104A2F" w:rsidRDefault="00104A2F">
      <w:pPr>
        <w:pStyle w:val="ConsPlusNormal"/>
        <w:spacing w:before="220"/>
        <w:jc w:val="both"/>
      </w:pPr>
      <w:r>
        <w:t>Такие объединения в рамках данного материала понимаются как формы дополнительного образования для детей, среди которых можно выделить, например, кружок (творческий, предметный), студию (творческую, театральную), клуб (</w:t>
      </w:r>
      <w:hyperlink r:id="rId12">
        <w:r>
          <w:rPr>
            <w:color w:val="0000FF"/>
          </w:rPr>
          <w:t>п. 21</w:t>
        </w:r>
      </w:hyperlink>
      <w:r>
        <w:t xml:space="preserve"> ФГОС, утв. Приказом </w:t>
      </w:r>
      <w:proofErr w:type="spellStart"/>
      <w:r>
        <w:t>Минобрнауки</w:t>
      </w:r>
      <w:proofErr w:type="spellEnd"/>
      <w:r>
        <w:t xml:space="preserve"> России от 17.05.2012 N 413; </w:t>
      </w:r>
      <w:hyperlink r:id="rId13">
        <w:r>
          <w:rPr>
            <w:color w:val="0000FF"/>
          </w:rPr>
          <w:t>разд. 3.3</w:t>
        </w:r>
      </w:hyperlink>
      <w:r>
        <w:t xml:space="preserve"> Стандарта, утв. Приказом ДОНМ от 14.03.2022 N 144).</w:t>
      </w:r>
    </w:p>
    <w:p w:rsidR="00104A2F" w:rsidRDefault="00104A2F">
      <w:pPr>
        <w:pStyle w:val="ConsPlusNormal"/>
        <w:spacing w:before="220"/>
        <w:jc w:val="both"/>
      </w:pPr>
      <w:r>
        <w:t xml:space="preserve">Дополнительные общеразвивающие программы могут быть интегрированы в процесс </w:t>
      </w:r>
      <w:proofErr w:type="gramStart"/>
      <w:r>
        <w:t>обучения по</w:t>
      </w:r>
      <w:proofErr w:type="gramEnd"/>
      <w:r>
        <w:t xml:space="preserve"> образовательным программам основного и среднего общего образования. Например, для реализации указанных дополнительных программ, имеющих целью подготовку детей к военной или иной государственной службе, создаются такие общеобразовательные организации, как, например, президентские кадетские училища, суворовские военные училища, нахимовские военно-морские училища (</w:t>
      </w:r>
      <w:hyperlink r:id="rId14">
        <w:r>
          <w:rPr>
            <w:color w:val="0000FF"/>
          </w:rPr>
          <w:t>ч. 2 ст. 86</w:t>
        </w:r>
      </w:hyperlink>
      <w:r>
        <w:t xml:space="preserve"> Закона N 273-ФЗ; </w:t>
      </w:r>
      <w:hyperlink r:id="rId15">
        <w:r>
          <w:rPr>
            <w:color w:val="0000FF"/>
          </w:rPr>
          <w:t>п. 1</w:t>
        </w:r>
      </w:hyperlink>
      <w:r>
        <w:t xml:space="preserve"> Порядка, утв. Приказом Министра обороны России от 21.03.2025 N 161).</w:t>
      </w:r>
    </w:p>
    <w:p w:rsidR="00104A2F" w:rsidRDefault="00104A2F">
      <w:pPr>
        <w:pStyle w:val="ConsPlusNormal"/>
        <w:spacing w:before="220"/>
        <w:jc w:val="both"/>
      </w:pPr>
      <w:r>
        <w:t>Дополнительные предпрофессиональные программы в области искусств реализуются в образовательных организациях дополнительного образования детей со специальными наименованиями (например, "детская школа искусств", "детская музыкальная школа", "детская художественная школа"). Также указанные программы можно освоить в профессиональных образовательных организациях, реализующих интегрированные образовательные программы и программы среднего профессионального образования в области искусств, а также в образовательных организациях высшего образования (</w:t>
      </w:r>
      <w:hyperlink r:id="rId16">
        <w:r>
          <w:rPr>
            <w:color w:val="0000FF"/>
          </w:rPr>
          <w:t>ч. 3 ст. 83</w:t>
        </w:r>
      </w:hyperlink>
      <w:r>
        <w:t xml:space="preserve"> Закона N 273-ФЗ; </w:t>
      </w:r>
      <w:hyperlink r:id="rId17">
        <w:r>
          <w:rPr>
            <w:color w:val="0000FF"/>
          </w:rPr>
          <w:t>Перечень</w:t>
        </w:r>
      </w:hyperlink>
      <w:r>
        <w:t>, утв. Приказом Минкультуры России от 03.03.2026 N 389).</w:t>
      </w:r>
    </w:p>
    <w:p w:rsidR="00104A2F" w:rsidRDefault="00104A2F">
      <w:pPr>
        <w:pStyle w:val="ConsPlusNormal"/>
        <w:spacing w:before="220"/>
        <w:jc w:val="both"/>
      </w:pPr>
      <w:r>
        <w:t>Дополнительные общеобразовательные программы в области физической культуры и спорта включают в себя (</w:t>
      </w:r>
      <w:hyperlink r:id="rId18">
        <w:r>
          <w:rPr>
            <w:color w:val="0000FF"/>
          </w:rPr>
          <w:t>п. 3 ч. 2</w:t>
        </w:r>
      </w:hyperlink>
      <w:r>
        <w:t xml:space="preserve">, </w:t>
      </w:r>
      <w:hyperlink r:id="rId19">
        <w:r>
          <w:rPr>
            <w:color w:val="0000FF"/>
          </w:rPr>
          <w:t>ч. 3 ст. 84</w:t>
        </w:r>
      </w:hyperlink>
      <w:r>
        <w:t xml:space="preserve"> Закона N 273-ФЗ):</w:t>
      </w:r>
    </w:p>
    <w:p w:rsidR="00104A2F" w:rsidRDefault="00104A2F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культурой и спортом, на физическое воспитание, физическое развитие личности, формирование </w:t>
      </w:r>
      <w:r>
        <w:lastRenderedPageBreak/>
        <w:t>культуры здорового образа жизни,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104A2F" w:rsidRDefault="00104A2F">
      <w:pPr>
        <w:pStyle w:val="ConsPlusNormal"/>
        <w:numPr>
          <w:ilvl w:val="0"/>
          <w:numId w:val="1"/>
        </w:numPr>
        <w:spacing w:before="220"/>
        <w:jc w:val="both"/>
      </w:pPr>
      <w:proofErr w:type="gramStart"/>
      <w:r>
        <w:t>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  <w:proofErr w:type="gramEnd"/>
    </w:p>
    <w:p w:rsidR="00104A2F" w:rsidRDefault="00104A2F">
      <w:pPr>
        <w:pStyle w:val="ConsPlusNormal"/>
        <w:spacing w:before="220"/>
        <w:jc w:val="both"/>
      </w:pPr>
      <w:r>
        <w:t>Для реализации дополнительных общеобразовательных программ в области физической культуры и спорта создаются организации дополнительного образования со специальным наименованием "спортивная школа" с правом использовать в своем наименовании слова "</w:t>
      </w:r>
      <w:proofErr w:type="gramStart"/>
      <w:r>
        <w:t>олимпийский</w:t>
      </w:r>
      <w:proofErr w:type="gramEnd"/>
      <w:r>
        <w:t>", "</w:t>
      </w:r>
      <w:proofErr w:type="spellStart"/>
      <w:r>
        <w:t>паралимпийский</w:t>
      </w:r>
      <w:proofErr w:type="spellEnd"/>
      <w:r>
        <w:t>", "</w:t>
      </w:r>
      <w:proofErr w:type="spellStart"/>
      <w:r>
        <w:t>сурдлимпийский</w:t>
      </w:r>
      <w:proofErr w:type="spellEnd"/>
      <w:r>
        <w:t>" или образованные на их основе слова и словосочетания в установленном порядке (</w:t>
      </w:r>
      <w:hyperlink r:id="rId20">
        <w:r>
          <w:rPr>
            <w:color w:val="0000FF"/>
          </w:rPr>
          <w:t>ч. 3.4 ст. 84</w:t>
        </w:r>
      </w:hyperlink>
      <w:r>
        <w:t xml:space="preserve"> Закона N 273-ФЗ).</w:t>
      </w:r>
    </w:p>
    <w:p w:rsidR="00104A2F" w:rsidRDefault="00104A2F">
      <w:pPr>
        <w:pStyle w:val="ConsPlusNormal"/>
        <w:spacing w:before="220"/>
        <w:jc w:val="both"/>
      </w:pPr>
      <w:r>
        <w:t>Дополнительные общеразвивающие программы в области физической культуры и спорта реализуют также центры раннего физического развития детей, предназначенные для выявления одаренных детей, развития их способностей к занятиям физической культурой и спортом (</w:t>
      </w:r>
      <w:hyperlink r:id="rId21">
        <w:r>
          <w:rPr>
            <w:color w:val="0000FF"/>
          </w:rPr>
          <w:t>ч. 2.1 ст. 84</w:t>
        </w:r>
      </w:hyperlink>
      <w:r>
        <w:t xml:space="preserve"> Закона N 273-ФЗ; </w:t>
      </w:r>
      <w:hyperlink r:id="rId22">
        <w:r>
          <w:rPr>
            <w:color w:val="0000FF"/>
          </w:rPr>
          <w:t>ч. 1 ст. 30.2</w:t>
        </w:r>
      </w:hyperlink>
      <w:r>
        <w:t xml:space="preserve"> Закона от 04.12.2007 N 329-ФЗ).</w:t>
      </w:r>
    </w:p>
    <w:p w:rsidR="00104A2F" w:rsidRDefault="00104A2F">
      <w:pPr>
        <w:pStyle w:val="ConsPlusNormal"/>
        <w:spacing w:before="220"/>
        <w:jc w:val="both"/>
      </w:pPr>
      <w:r>
        <w:t xml:space="preserve">Для записи ребенка в кружок, студию и т.п. необходимо обратиться непосредственно в образовательную организацию, в которой предоставляется услуга по дополнительному образованию. В некоторых случаях осуществить запись ребенка в кружок, студию и т.п. можно через портал </w:t>
      </w:r>
      <w:proofErr w:type="spellStart"/>
      <w:r>
        <w:t>госуслуг</w:t>
      </w:r>
      <w:proofErr w:type="spellEnd"/>
      <w:r>
        <w:t>.</w:t>
      </w:r>
    </w:p>
    <w:p w:rsidR="00104A2F" w:rsidRDefault="00104A2F">
      <w:pPr>
        <w:pStyle w:val="ConsPlusNormal"/>
        <w:jc w:val="both"/>
      </w:pPr>
    </w:p>
    <w:p w:rsidR="00104A2F" w:rsidRDefault="00104A2F">
      <w:pPr>
        <w:pStyle w:val="ConsPlusNormal"/>
        <w:jc w:val="both"/>
      </w:pPr>
    </w:p>
    <w:tbl>
      <w:tblPr>
        <w:tblW w:w="1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79"/>
      </w:tblGrid>
      <w:tr w:rsidR="00104A2F" w:rsidTr="00104A2F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A2F" w:rsidRDefault="00104A2F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A2F" w:rsidRDefault="00104A2F">
            <w:pPr>
              <w:pStyle w:val="ConsPlusNormal"/>
            </w:pPr>
          </w:p>
        </w:tc>
      </w:tr>
    </w:tbl>
    <w:p w:rsidR="00104A2F" w:rsidRDefault="00104A2F">
      <w:pPr>
        <w:pStyle w:val="ConsPlusNormal"/>
        <w:jc w:val="both"/>
      </w:pPr>
    </w:p>
    <w:p w:rsidR="00104A2F" w:rsidRDefault="00104A2F">
      <w:pPr>
        <w:pStyle w:val="ConsPlusNormal"/>
        <w:jc w:val="both"/>
      </w:pPr>
    </w:p>
    <w:p w:rsidR="00104A2F" w:rsidRDefault="00104A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7DE" w:rsidRDefault="007A07DE"/>
    <w:sectPr w:rsidR="007A07DE" w:rsidSect="0048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338DB"/>
    <w:multiLevelType w:val="multilevel"/>
    <w:tmpl w:val="C8BA38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140887"/>
    <w:multiLevelType w:val="multilevel"/>
    <w:tmpl w:val="9244CE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2F"/>
    <w:rsid w:val="00104A2F"/>
    <w:rsid w:val="007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4A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4A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32901&amp;dst=100223" TargetMode="External"/><Relationship Id="rId13" Type="http://schemas.openxmlformats.org/officeDocument/2006/relationships/hyperlink" Target="https://login.consultant.ru/link/?req=doc&amp;base=MLAW&amp;n=219414&amp;dst=100103" TargetMode="External"/><Relationship Id="rId18" Type="http://schemas.openxmlformats.org/officeDocument/2006/relationships/hyperlink" Target="https://login.consultant.ru/link/?req=doc&amp;base=RZR&amp;n=532901&amp;dst=1011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532901&amp;dst=1007" TargetMode="External"/><Relationship Id="rId7" Type="http://schemas.openxmlformats.org/officeDocument/2006/relationships/hyperlink" Target="https://login.consultant.ru/link/?req=doc&amp;base=RZR&amp;n=532901&amp;dst=100216" TargetMode="External"/><Relationship Id="rId12" Type="http://schemas.openxmlformats.org/officeDocument/2006/relationships/hyperlink" Target="https://login.consultant.ru/link/?req=doc&amp;base=RZR&amp;n=501142&amp;dst=93" TargetMode="External"/><Relationship Id="rId17" Type="http://schemas.openxmlformats.org/officeDocument/2006/relationships/hyperlink" Target="https://login.consultant.ru/link/?req=doc&amp;base=RZR&amp;n=531315&amp;dst=100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32901&amp;dst=101108" TargetMode="External"/><Relationship Id="rId20" Type="http://schemas.openxmlformats.org/officeDocument/2006/relationships/hyperlink" Target="https://login.consultant.ru/link/?req=doc&amp;base=RZR&amp;n=532901&amp;dst=7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RZR&amp;n=427531&amp;dst=10004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02280&amp;dst=100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32901&amp;dst=100998" TargetMode="External"/><Relationship Id="rId19" Type="http://schemas.openxmlformats.org/officeDocument/2006/relationships/hyperlink" Target="https://login.consultant.ru/link/?req=doc&amp;base=RZR&amp;n=532901&amp;dst=101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32901&amp;dst=100997" TargetMode="External"/><Relationship Id="rId14" Type="http://schemas.openxmlformats.org/officeDocument/2006/relationships/hyperlink" Target="https://login.consultant.ru/link/?req=doc&amp;base=RZR&amp;n=532901&amp;dst=101155" TargetMode="External"/><Relationship Id="rId22" Type="http://schemas.openxmlformats.org/officeDocument/2006/relationships/hyperlink" Target="https://login.consultant.ru/link/?req=doc&amp;base=RZR&amp;n=511691&amp;dst=1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Якубович</dc:creator>
  <cp:lastModifiedBy>Екатерина Вячеславовна Якубович</cp:lastModifiedBy>
  <cp:revision>1</cp:revision>
  <dcterms:created xsi:type="dcterms:W3CDTF">2026-05-05T11:54:00Z</dcterms:created>
  <dcterms:modified xsi:type="dcterms:W3CDTF">2026-05-05T11:55:00Z</dcterms:modified>
</cp:coreProperties>
</file>